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B73CC" w14:textId="77777777" w:rsidR="005C16F2" w:rsidRDefault="005C16F2" w:rsidP="005C16F2">
      <w:pPr>
        <w:pStyle w:val="heading1"/>
        <w:numPr>
          <w:ilvl w:val="0"/>
          <w:numId w:val="17"/>
        </w:numPr>
        <w:tabs>
          <w:tab w:val="clear" w:pos="360"/>
          <w:tab w:val="num" w:pos="540"/>
        </w:tabs>
        <w:ind w:left="540" w:hanging="540"/>
      </w:pPr>
      <w:bookmarkStart w:id="0" w:name="_GoBack"/>
      <w:bookmarkEnd w:id="0"/>
      <w:r>
        <w:t>Introduction / Purpose</w:t>
      </w:r>
    </w:p>
    <w:p w14:paraId="72961FB0" w14:textId="77777777" w:rsidR="005C16F2" w:rsidRDefault="005C16F2" w:rsidP="005C16F2">
      <w:pPr>
        <w:pStyle w:val="heading1"/>
        <w:numPr>
          <w:ilvl w:val="0"/>
          <w:numId w:val="17"/>
        </w:numPr>
        <w:tabs>
          <w:tab w:val="clear" w:pos="360"/>
          <w:tab w:val="num" w:pos="540"/>
        </w:tabs>
        <w:ind w:left="540" w:hanging="540"/>
      </w:pPr>
      <w:r>
        <w:t>Scope</w:t>
      </w:r>
    </w:p>
    <w:p w14:paraId="044AA731" w14:textId="77777777" w:rsidR="005C16F2" w:rsidRDefault="005C16F2" w:rsidP="005C16F2">
      <w:pPr>
        <w:pStyle w:val="heading1"/>
        <w:numPr>
          <w:ilvl w:val="0"/>
          <w:numId w:val="17"/>
        </w:numPr>
        <w:tabs>
          <w:tab w:val="clear" w:pos="360"/>
          <w:tab w:val="num" w:pos="540"/>
        </w:tabs>
        <w:ind w:left="540" w:hanging="540"/>
      </w:pPr>
      <w:r>
        <w:t>Definitions</w:t>
      </w:r>
    </w:p>
    <w:p w14:paraId="3EFCA6D7" w14:textId="77777777" w:rsidR="005C16F2" w:rsidRDefault="005C16F2" w:rsidP="005C16F2">
      <w:pPr>
        <w:pStyle w:val="heading1"/>
        <w:numPr>
          <w:ilvl w:val="0"/>
          <w:numId w:val="17"/>
        </w:numPr>
        <w:tabs>
          <w:tab w:val="clear" w:pos="360"/>
          <w:tab w:val="num" w:pos="540"/>
        </w:tabs>
        <w:ind w:left="540" w:hanging="540"/>
      </w:pPr>
      <w:r>
        <w:t>Deviations</w:t>
      </w:r>
    </w:p>
    <w:p w14:paraId="7D996E1A" w14:textId="77777777" w:rsidR="005C16F2" w:rsidRDefault="005C16F2" w:rsidP="005C16F2">
      <w:pPr>
        <w:pStyle w:val="heading1"/>
        <w:numPr>
          <w:ilvl w:val="0"/>
          <w:numId w:val="17"/>
        </w:numPr>
        <w:tabs>
          <w:tab w:val="clear" w:pos="360"/>
          <w:tab w:val="num" w:pos="540"/>
        </w:tabs>
        <w:ind w:left="540" w:hanging="540"/>
      </w:pPr>
      <w:smartTag w:uri="urn:schemas-microsoft-com:office:smarttags" w:element="place">
        <w:r>
          <w:t>EMS</w:t>
        </w:r>
      </w:smartTag>
      <w:r>
        <w:t xml:space="preserve"> (ISO 14001) requirements</w:t>
      </w:r>
    </w:p>
    <w:p w14:paraId="0221E026" w14:textId="77777777" w:rsidR="005C16F2" w:rsidRDefault="005C16F2" w:rsidP="005C16F2">
      <w:pPr>
        <w:pStyle w:val="heading1"/>
        <w:numPr>
          <w:ilvl w:val="0"/>
          <w:numId w:val="17"/>
        </w:numPr>
        <w:tabs>
          <w:tab w:val="clear" w:pos="360"/>
          <w:tab w:val="num" w:pos="540"/>
        </w:tabs>
        <w:ind w:left="540" w:hanging="540"/>
      </w:pPr>
      <w:r>
        <w:t>General Requirements</w:t>
      </w:r>
    </w:p>
    <w:p w14:paraId="68A0B94A" w14:textId="77777777" w:rsidR="005C16F2" w:rsidRDefault="005C16F2" w:rsidP="005C16F2">
      <w:pPr>
        <w:pStyle w:val="heading1"/>
        <w:numPr>
          <w:ilvl w:val="0"/>
          <w:numId w:val="17"/>
        </w:numPr>
        <w:tabs>
          <w:tab w:val="clear" w:pos="360"/>
          <w:tab w:val="num" w:pos="540"/>
        </w:tabs>
        <w:ind w:left="540" w:hanging="540"/>
      </w:pPr>
      <w:r>
        <w:t>Hazard Communication Requirements</w:t>
      </w:r>
    </w:p>
    <w:p w14:paraId="78F14185" w14:textId="77777777" w:rsidR="005C16F2" w:rsidRDefault="005C16F2" w:rsidP="005C16F2">
      <w:pPr>
        <w:pStyle w:val="heading1"/>
        <w:numPr>
          <w:ilvl w:val="0"/>
          <w:numId w:val="17"/>
        </w:numPr>
        <w:tabs>
          <w:tab w:val="clear" w:pos="360"/>
          <w:tab w:val="num" w:pos="540"/>
        </w:tabs>
        <w:ind w:left="540" w:hanging="540"/>
      </w:pPr>
      <w:r>
        <w:t>Environmental Requirementps</w:t>
      </w:r>
    </w:p>
    <w:p w14:paraId="5A6B82E7" w14:textId="77777777" w:rsidR="005C16F2" w:rsidRDefault="005C16F2" w:rsidP="005C16F2">
      <w:pPr>
        <w:pStyle w:val="heading1"/>
        <w:numPr>
          <w:ilvl w:val="0"/>
          <w:numId w:val="17"/>
        </w:numPr>
        <w:tabs>
          <w:tab w:val="clear" w:pos="360"/>
          <w:tab w:val="num" w:pos="540"/>
        </w:tabs>
        <w:ind w:left="540" w:hanging="540"/>
      </w:pPr>
      <w:r>
        <w:t>Safety Requirements</w:t>
      </w:r>
    </w:p>
    <w:p w14:paraId="6989ADDC" w14:textId="77777777" w:rsidR="005C16F2" w:rsidRDefault="005C16F2" w:rsidP="005C16F2">
      <w:pPr>
        <w:pStyle w:val="heading1"/>
        <w:numPr>
          <w:ilvl w:val="0"/>
          <w:numId w:val="17"/>
        </w:numPr>
        <w:tabs>
          <w:tab w:val="clear" w:pos="360"/>
          <w:tab w:val="num" w:pos="540"/>
        </w:tabs>
        <w:ind w:left="540" w:hanging="540"/>
      </w:pPr>
      <w:r>
        <w:t xml:space="preserve">Document Control Log </w:t>
      </w:r>
    </w:p>
    <w:p w14:paraId="61DFB7DF" w14:textId="77777777" w:rsidR="005C16F2" w:rsidRDefault="005C16F2" w:rsidP="005C16F2">
      <w:pPr>
        <w:pStyle w:val="Header"/>
        <w:tabs>
          <w:tab w:val="clear" w:pos="4320"/>
          <w:tab w:val="clear" w:pos="8640"/>
        </w:tabs>
        <w:rPr>
          <w:rFonts w:ascii="Univers Condensed" w:hAnsi="Univers Condensed"/>
          <w:b/>
          <w:sz w:val="22"/>
        </w:rPr>
      </w:pPr>
      <w:r>
        <w:rPr>
          <w:rFonts w:ascii="Univers Condensed" w:hAnsi="Univers Condensed"/>
          <w:b/>
          <w:sz w:val="22"/>
        </w:rPr>
        <w:t>Appendix A</w:t>
      </w:r>
      <w:r>
        <w:rPr>
          <w:rFonts w:ascii="Univers Condensed" w:hAnsi="Univers Condensed"/>
          <w:b/>
          <w:sz w:val="22"/>
        </w:rPr>
        <w:tab/>
        <w:t xml:space="preserve">Restricted Chemicals </w:t>
      </w:r>
    </w:p>
    <w:p w14:paraId="5E9DD5E1" w14:textId="77777777" w:rsidR="005C16F2" w:rsidRDefault="005C16F2" w:rsidP="005C16F2">
      <w:pPr>
        <w:pStyle w:val="Header"/>
        <w:tabs>
          <w:tab w:val="clear" w:pos="4320"/>
          <w:tab w:val="clear" w:pos="8640"/>
        </w:tabs>
        <w:rPr>
          <w:rFonts w:ascii="Univers Condensed" w:hAnsi="Univers Condensed"/>
          <w:b/>
          <w:sz w:val="22"/>
        </w:rPr>
      </w:pPr>
      <w:r>
        <w:rPr>
          <w:rFonts w:ascii="Univers Condensed" w:hAnsi="Univers Condensed"/>
          <w:b/>
          <w:sz w:val="22"/>
        </w:rPr>
        <w:t>Appendix B</w:t>
      </w:r>
      <w:r>
        <w:rPr>
          <w:rFonts w:ascii="Univers Condensed" w:hAnsi="Univers Condensed"/>
          <w:b/>
          <w:sz w:val="22"/>
        </w:rPr>
        <w:tab/>
        <w:t>Contractor Chemical Use Form</w:t>
      </w:r>
    </w:p>
    <w:p w14:paraId="6822F9D8" w14:textId="77777777" w:rsidR="005C16F2" w:rsidRDefault="005C16F2" w:rsidP="005C16F2">
      <w:pPr>
        <w:pStyle w:val="Header"/>
        <w:tabs>
          <w:tab w:val="clear" w:pos="4320"/>
          <w:tab w:val="clear" w:pos="8640"/>
        </w:tabs>
        <w:rPr>
          <w:rFonts w:ascii="Univers Condensed" w:hAnsi="Univers Condensed"/>
          <w:b/>
          <w:sz w:val="22"/>
        </w:rPr>
      </w:pPr>
      <w:r>
        <w:rPr>
          <w:rFonts w:ascii="Univers Condensed" w:hAnsi="Univers Condensed"/>
          <w:b/>
          <w:sz w:val="22"/>
        </w:rPr>
        <w:t>Appendix C</w:t>
      </w:r>
      <w:r>
        <w:rPr>
          <w:rFonts w:ascii="Univers Condensed" w:hAnsi="Univers Condensed"/>
          <w:b/>
          <w:sz w:val="22"/>
        </w:rPr>
        <w:tab/>
        <w:t>Site Specific Requirements / Instructions / Procedures</w:t>
      </w:r>
    </w:p>
    <w:p w14:paraId="20D7BCE5" w14:textId="77777777" w:rsidR="005C16F2" w:rsidRDefault="005C16F2" w:rsidP="005C16F2">
      <w:pPr>
        <w:pStyle w:val="Header"/>
        <w:tabs>
          <w:tab w:val="clear" w:pos="4320"/>
          <w:tab w:val="clear" w:pos="8640"/>
        </w:tabs>
        <w:rPr>
          <w:rFonts w:ascii="Univers Condensed" w:hAnsi="Univers Condensed"/>
          <w:b/>
          <w:sz w:val="22"/>
        </w:rPr>
      </w:pPr>
      <w:r>
        <w:rPr>
          <w:rFonts w:ascii="Univers Condensed" w:hAnsi="Univers Condensed"/>
          <w:b/>
          <w:sz w:val="22"/>
        </w:rPr>
        <w:t>Appendix D</w:t>
      </w:r>
      <w:r>
        <w:rPr>
          <w:rFonts w:ascii="Univers Condensed" w:hAnsi="Univers Condensed"/>
          <w:b/>
          <w:sz w:val="22"/>
        </w:rPr>
        <w:tab/>
        <w:t>EHS Training &amp; Health Surveillance (U.S. Only)</w:t>
      </w:r>
    </w:p>
    <w:p w14:paraId="0F766679" w14:textId="77777777" w:rsidR="005C16F2" w:rsidRDefault="005C16F2" w:rsidP="005C16F2">
      <w:pPr>
        <w:pStyle w:val="Header"/>
        <w:tabs>
          <w:tab w:val="clear" w:pos="4320"/>
          <w:tab w:val="clear" w:pos="8640"/>
        </w:tabs>
        <w:rPr>
          <w:rFonts w:ascii="Univers Condensed" w:hAnsi="Univers Condensed"/>
          <w:b/>
          <w:sz w:val="22"/>
        </w:rPr>
      </w:pPr>
      <w:r>
        <w:rPr>
          <w:rFonts w:ascii="Univers Condensed" w:hAnsi="Univers Condensed"/>
          <w:b/>
          <w:sz w:val="22"/>
        </w:rPr>
        <w:t>Appendix E</w:t>
      </w:r>
      <w:r>
        <w:rPr>
          <w:rFonts w:ascii="Univers Condensed" w:hAnsi="Univers Condensed"/>
          <w:b/>
          <w:sz w:val="22"/>
        </w:rPr>
        <w:tab/>
        <w:t>Contractor Acknowledgement of Receipt</w:t>
      </w:r>
    </w:p>
    <w:p w14:paraId="4C45FC29" w14:textId="77777777" w:rsidR="005C16F2" w:rsidRDefault="005C16F2" w:rsidP="005C16F2">
      <w:pPr>
        <w:pStyle w:val="heading1"/>
        <w:numPr>
          <w:ilvl w:val="0"/>
          <w:numId w:val="0"/>
        </w:numPr>
        <w:rPr>
          <w:sz w:val="20"/>
        </w:rPr>
      </w:pPr>
    </w:p>
    <w:p w14:paraId="33E78052" w14:textId="77777777" w:rsidR="005C16F2" w:rsidRPr="007757AE" w:rsidRDefault="005C16F2" w:rsidP="005C16F2">
      <w:pPr>
        <w:pStyle w:val="heading1"/>
        <w:numPr>
          <w:ilvl w:val="0"/>
          <w:numId w:val="0"/>
        </w:numPr>
        <w:rPr>
          <w:rFonts w:ascii="ITCCenturyBookT" w:hAnsi="ITCCenturyBookT"/>
          <w:b w:val="0"/>
          <w:i/>
        </w:rPr>
      </w:pPr>
      <w:r w:rsidRPr="007757AE">
        <w:rPr>
          <w:sz w:val="20"/>
        </w:rPr>
        <w:t xml:space="preserve">Disclaimer for Distribution External to Agilent: </w:t>
      </w:r>
      <w:r>
        <w:t xml:space="preserve"> </w:t>
      </w:r>
      <w:r w:rsidRPr="007757AE">
        <w:rPr>
          <w:rFonts w:ascii="ITCCenturyBookT" w:hAnsi="ITCCenturyBookT"/>
          <w:b w:val="0"/>
          <w:i/>
          <w:sz w:val="18"/>
          <w:szCs w:val="18"/>
        </w:rPr>
        <w:t>The information provided in this document is confidential, based on information available to Agilent Technologies, Inc. at the time of preparation and believed to be accurate.  The information provided does not purport to be all-inclusive or contain all the information that is required by the third party to which Agilent has provided it.  The information contained herein are provided “AS IS” and are subject to change without notice.  Agilent makes no representations or warranties of any kind, express or implied and will not be liable for any damages resulting from or in connection with their use.</w:t>
      </w:r>
    </w:p>
    <w:p w14:paraId="533291F2" w14:textId="77777777" w:rsidR="005C16F2" w:rsidRDefault="00D3542A" w:rsidP="005C16F2">
      <w:pPr>
        <w:pStyle w:val="Title"/>
      </w:pPr>
      <w:r>
        <w:rPr>
          <w:b w:val="0"/>
          <w:noProof/>
          <w:color w:val="FF0000"/>
        </w:rPr>
        <w:pict w14:anchorId="4EAC6B04">
          <v:line id="_x0000_s1031" style="position:absolute;left:0;text-align:left;flip:y;z-index:251659264" from="0,9.7pt" to="475.2pt,9.7pt" o:allowincell="f" strokeweight="2.25pt"/>
        </w:pict>
      </w:r>
    </w:p>
    <w:p w14:paraId="5615C7AE" w14:textId="77777777" w:rsidR="005C16F2" w:rsidRDefault="005C16F2" w:rsidP="005C16F2">
      <w:pPr>
        <w:pStyle w:val="heading2"/>
        <w:numPr>
          <w:ilvl w:val="0"/>
          <w:numId w:val="1"/>
        </w:numPr>
        <w:spacing w:after="120"/>
        <w:rPr>
          <w:caps/>
        </w:rPr>
      </w:pPr>
      <w:r>
        <w:rPr>
          <w:caps/>
        </w:rPr>
        <w:t>Introduction / Purpose</w:t>
      </w:r>
    </w:p>
    <w:p w14:paraId="1C9A4517" w14:textId="77777777" w:rsidR="005C16F2" w:rsidRDefault="005C16F2" w:rsidP="005C16F2">
      <w:pPr>
        <w:pStyle w:val="bodytext0"/>
        <w:rPr>
          <w:rFonts w:ascii="ITCCenturyBookT" w:hAnsi="ITCCenturyBookT"/>
          <w:sz w:val="22"/>
        </w:rPr>
      </w:pPr>
      <w:r>
        <w:rPr>
          <w:rFonts w:ascii="ITCCenturyBookT" w:hAnsi="ITCCenturyBookT"/>
          <w:sz w:val="22"/>
        </w:rPr>
        <w:t>This document defines responsibilities and provides requirements for planning and carrying out contractor work at Agilent Technologies facilities.  The purpose of these requirements is to minimize or eliminate risk to personnel health &amp; safety and to the environment.  This document contains basic safety information regarding emergency response procedures for Contractors working at Agilent Technologies facilities.  This document identifies some, but not all, work practices and procedures that must be followed to minimize impact to personnel health &amp; safety and to the environment while working at Agilent Technologies.</w:t>
      </w:r>
    </w:p>
    <w:p w14:paraId="655945E4" w14:textId="77777777" w:rsidR="005C16F2" w:rsidRDefault="005C16F2" w:rsidP="005C16F2">
      <w:pPr>
        <w:pStyle w:val="bodytext0"/>
        <w:rPr>
          <w:rFonts w:ascii="ITCCenturyBookT" w:hAnsi="ITCCenturyBookT"/>
          <w:sz w:val="22"/>
        </w:rPr>
      </w:pPr>
    </w:p>
    <w:p w14:paraId="2CDB210F" w14:textId="77777777" w:rsidR="005C16F2" w:rsidRDefault="005C16F2" w:rsidP="005C16F2">
      <w:pPr>
        <w:pStyle w:val="bodytext0"/>
        <w:rPr>
          <w:rFonts w:ascii="ITCCenturyBookT" w:hAnsi="ITCCenturyBookT"/>
          <w:color w:val="000000"/>
          <w:sz w:val="22"/>
        </w:rPr>
      </w:pPr>
      <w:r>
        <w:rPr>
          <w:rFonts w:ascii="ITCCenturyBookT" w:hAnsi="ITCCenturyBookT"/>
          <w:color w:val="000000"/>
          <w:sz w:val="22"/>
        </w:rPr>
        <w:t>All Contractors and Sub-Contractors performing work at Agilent Technologies facilities are expected to comply with these requirements and all applicable laws and regulations of any governmental entity or sovereign authority that pertain to environmental, health and safety standards and/or work practices.  Failure to abide by these requirements and applicable environmental, health, and safety standards and /or work practices, may subject you or your firm to corrective action that may result in disqualification for future consideration of work at Agilent or termination of any contract agreements with Agilent.</w:t>
      </w:r>
    </w:p>
    <w:p w14:paraId="6D8FFF22" w14:textId="77777777" w:rsidR="005C16F2" w:rsidRDefault="005C16F2" w:rsidP="005C16F2">
      <w:pPr>
        <w:pStyle w:val="bodytext0"/>
        <w:rPr>
          <w:rFonts w:ascii="ITCCenturyBookT" w:hAnsi="ITCCenturyBookT"/>
          <w:sz w:val="22"/>
        </w:rPr>
      </w:pPr>
    </w:p>
    <w:p w14:paraId="483BAE84" w14:textId="77777777" w:rsidR="005C16F2" w:rsidRDefault="005C16F2" w:rsidP="005C16F2">
      <w:pPr>
        <w:pStyle w:val="bodytext0"/>
        <w:spacing w:after="120"/>
        <w:rPr>
          <w:rFonts w:ascii="ITCCenturyBookT" w:hAnsi="ITCCenturyBookT"/>
        </w:rPr>
      </w:pPr>
      <w:r>
        <w:rPr>
          <w:rFonts w:ascii="ITCCenturyBookT" w:hAnsi="ITCCenturyBookT"/>
          <w:sz w:val="22"/>
        </w:rPr>
        <w:t>When attached to the Contractor/vendor agreement, this document and its appendixes become part of the contract terms.  The Contractor must ensure that the requirements put forth in this document are met and that all Contractor personnel and Sub-Contractor personnel are trained in, and comply with all aspects of this document.</w:t>
      </w:r>
      <w:r>
        <w:rPr>
          <w:rFonts w:ascii="ITCCenturyBookT" w:hAnsi="ITCCenturyBookT"/>
          <w:sz w:val="22"/>
        </w:rPr>
        <w:br/>
      </w:r>
    </w:p>
    <w:p w14:paraId="34A2DED6" w14:textId="77777777" w:rsidR="005C16F2" w:rsidRPr="001D53B2" w:rsidRDefault="005C16F2" w:rsidP="005C16F2">
      <w:pPr>
        <w:pStyle w:val="heading2"/>
        <w:numPr>
          <w:ilvl w:val="0"/>
          <w:numId w:val="1"/>
        </w:numPr>
        <w:spacing w:after="120"/>
        <w:rPr>
          <w:caps/>
          <w:szCs w:val="28"/>
        </w:rPr>
      </w:pPr>
      <w:r w:rsidRPr="001D53B2">
        <w:rPr>
          <w:caps/>
          <w:szCs w:val="28"/>
        </w:rPr>
        <w:t>Scope</w:t>
      </w:r>
    </w:p>
    <w:p w14:paraId="674B8C42" w14:textId="77777777" w:rsidR="005C16F2" w:rsidRDefault="005C16F2" w:rsidP="005C16F2">
      <w:pPr>
        <w:pStyle w:val="bodytext0"/>
        <w:rPr>
          <w:rFonts w:ascii="ITCCenturyBookT" w:hAnsi="ITCCenturyBookT"/>
          <w:color w:val="000000"/>
          <w:sz w:val="22"/>
        </w:rPr>
      </w:pPr>
      <w:r>
        <w:rPr>
          <w:rFonts w:ascii="ITCCenturyBookT" w:hAnsi="ITCCenturyBookT"/>
          <w:color w:val="000000"/>
          <w:sz w:val="22"/>
        </w:rPr>
        <w:lastRenderedPageBreak/>
        <w:t xml:space="preserve">These requirements apply to Contractors classified as follows: </w:t>
      </w:r>
    </w:p>
    <w:p w14:paraId="5850BBFB" w14:textId="77777777" w:rsidR="005C16F2" w:rsidRDefault="005C16F2" w:rsidP="005C16F2">
      <w:pPr>
        <w:pStyle w:val="bodytext0"/>
        <w:rPr>
          <w:rFonts w:ascii="ITCCenturyBookT" w:hAnsi="ITCCenturyBookT"/>
          <w:color w:val="000000"/>
          <w:sz w:val="22"/>
        </w:rPr>
      </w:pPr>
      <w:r w:rsidRPr="00C27808">
        <w:rPr>
          <w:rFonts w:ascii="ITCCenturyBookT" w:hAnsi="ITCCenturyBookT"/>
          <w:color w:val="000000"/>
          <w:sz w:val="22"/>
        </w:rPr>
        <w:t>Low Impact Contractors mu</w:t>
      </w:r>
    </w:p>
    <w:p w14:paraId="2C487DA0" w14:textId="77777777" w:rsidR="005C16F2" w:rsidRPr="00C27808" w:rsidRDefault="005C16F2" w:rsidP="005C16F2">
      <w:pPr>
        <w:pStyle w:val="bodytext0"/>
        <w:rPr>
          <w:rFonts w:ascii="ITCCenturyBookT" w:hAnsi="ITCCenturyBookT"/>
          <w:color w:val="000000"/>
          <w:sz w:val="22"/>
        </w:rPr>
      </w:pPr>
      <w:r w:rsidRPr="00C27808">
        <w:rPr>
          <w:rFonts w:ascii="ITCCenturyBookT" w:hAnsi="ITCCenturyBookT"/>
          <w:color w:val="000000"/>
          <w:sz w:val="22"/>
        </w:rPr>
        <w:t>st comply with requirements in sections 5.0 and 6.0.</w:t>
      </w:r>
    </w:p>
    <w:p w14:paraId="74083D1C" w14:textId="77777777" w:rsidR="005C16F2" w:rsidRPr="00C27808" w:rsidRDefault="005C16F2" w:rsidP="005C16F2">
      <w:pPr>
        <w:pStyle w:val="bodytext0"/>
        <w:rPr>
          <w:rFonts w:ascii="ITCCenturyBookT" w:hAnsi="ITCCenturyBookT"/>
          <w:color w:val="000000"/>
          <w:sz w:val="22"/>
        </w:rPr>
      </w:pPr>
      <w:r w:rsidRPr="00C27808">
        <w:rPr>
          <w:rFonts w:ascii="ITCCenturyBookT" w:hAnsi="ITCCenturyBookT"/>
          <w:color w:val="000000"/>
          <w:sz w:val="22"/>
        </w:rPr>
        <w:t>High Impact Contractors must comply with requirements in sections 5.0 – 9.0.</w:t>
      </w:r>
    </w:p>
    <w:p w14:paraId="7B1D6124" w14:textId="77777777" w:rsidR="005C16F2" w:rsidRDefault="005C16F2" w:rsidP="005C16F2">
      <w:pPr>
        <w:pStyle w:val="bodytext0"/>
        <w:rPr>
          <w:rFonts w:ascii="ITCCenturyBookT" w:hAnsi="ITCCenturyBookT"/>
          <w:b/>
          <w:sz w:val="22"/>
        </w:rPr>
      </w:pPr>
    </w:p>
    <w:p w14:paraId="31249997" w14:textId="77777777" w:rsidR="005C16F2" w:rsidRDefault="005C16F2" w:rsidP="005C16F2">
      <w:pPr>
        <w:pStyle w:val="bodytext0"/>
        <w:rPr>
          <w:rFonts w:ascii="ITCCenturyBookT" w:hAnsi="ITCCenturyBookT"/>
          <w:strike/>
          <w:color w:val="000000"/>
          <w:sz w:val="22"/>
        </w:rPr>
      </w:pPr>
      <w:r>
        <w:rPr>
          <w:rFonts w:ascii="ITCCenturyBookT" w:hAnsi="ITCCenturyBookT"/>
          <w:b/>
          <w:color w:val="000000"/>
          <w:sz w:val="22"/>
        </w:rPr>
        <w:t xml:space="preserve">Low Impact Contractors </w:t>
      </w:r>
      <w:r>
        <w:rPr>
          <w:rFonts w:ascii="ITCCenturyBookT" w:hAnsi="ITCCenturyBookT"/>
          <w:color w:val="000000"/>
          <w:sz w:val="22"/>
        </w:rPr>
        <w:t xml:space="preserve">Perform activities at Agilent Technologies facilities that most likely will not have a negative impact on the environment or health &amp; safety of other employees on site.  Low Impact Contractors are not involved with high risk type activities (e.g., chemical, electrical, mechanical or elevated surfaces). </w:t>
      </w:r>
    </w:p>
    <w:p w14:paraId="642504E7" w14:textId="77777777" w:rsidR="005C16F2" w:rsidRDefault="005C16F2" w:rsidP="005C16F2">
      <w:pPr>
        <w:pStyle w:val="bodytext0"/>
        <w:ind w:hanging="720"/>
        <w:rPr>
          <w:rFonts w:ascii="ITCCenturyBookT" w:hAnsi="ITCCenturyBookT"/>
          <w:b/>
          <w:color w:val="0000FF"/>
          <w:sz w:val="22"/>
        </w:rPr>
      </w:pPr>
    </w:p>
    <w:p w14:paraId="7B3A03F5" w14:textId="77777777" w:rsidR="005C16F2" w:rsidRDefault="005C16F2" w:rsidP="005C16F2">
      <w:pPr>
        <w:pStyle w:val="bodytext0"/>
        <w:rPr>
          <w:rFonts w:ascii="ITCCenturyBookT" w:hAnsi="ITCCenturyBookT"/>
          <w:color w:val="000000"/>
          <w:sz w:val="22"/>
        </w:rPr>
      </w:pPr>
      <w:r>
        <w:rPr>
          <w:rFonts w:ascii="ITCCenturyBookT" w:hAnsi="ITCCenturyBookT"/>
          <w:color w:val="000000"/>
          <w:sz w:val="22"/>
        </w:rPr>
        <w:t>Examples of Low Impact Contractor activities include: Food service, security, consultants, engineering, architectural, office equipment repair and maintenance, office services (copy center), Information Technology (IT) Services, etc.</w:t>
      </w:r>
    </w:p>
    <w:p w14:paraId="7BB6B95F" w14:textId="77777777" w:rsidR="005C16F2" w:rsidRDefault="005C16F2" w:rsidP="005C16F2">
      <w:pPr>
        <w:pStyle w:val="bodytext0"/>
        <w:rPr>
          <w:rFonts w:ascii="ITCCenturyBookT" w:hAnsi="ITCCenturyBookT"/>
          <w:sz w:val="22"/>
        </w:rPr>
      </w:pPr>
    </w:p>
    <w:p w14:paraId="2BF27CF4" w14:textId="77777777" w:rsidR="005C16F2" w:rsidRDefault="005C16F2" w:rsidP="005C16F2">
      <w:pPr>
        <w:pStyle w:val="bodytext0"/>
        <w:rPr>
          <w:rFonts w:ascii="ITCCenturyBookT" w:hAnsi="ITCCenturyBookT"/>
          <w:color w:val="000000"/>
          <w:sz w:val="22"/>
        </w:rPr>
      </w:pPr>
      <w:r>
        <w:rPr>
          <w:rFonts w:ascii="ITCCenturyBookT" w:hAnsi="ITCCenturyBookT"/>
          <w:b/>
          <w:color w:val="000000"/>
          <w:sz w:val="22"/>
        </w:rPr>
        <w:t xml:space="preserve">High Impact Contractors </w:t>
      </w:r>
      <w:r>
        <w:rPr>
          <w:rFonts w:ascii="ITCCenturyBookT" w:hAnsi="ITCCenturyBookT"/>
          <w:color w:val="000000"/>
          <w:sz w:val="22"/>
        </w:rPr>
        <w:t xml:space="preserve">Perform activities at Agilent Technologies facilities that may have a potential negative impact on the environment or the health &amp; safety of other employees on site.  High Impact Activities include but are not limited to: </w:t>
      </w:r>
    </w:p>
    <w:p w14:paraId="10B077D5" w14:textId="77777777" w:rsidR="005C16F2" w:rsidRDefault="005C16F2" w:rsidP="005C16F2">
      <w:pPr>
        <w:pStyle w:val="bodytext0"/>
        <w:numPr>
          <w:ilvl w:val="0"/>
          <w:numId w:val="16"/>
        </w:numPr>
        <w:tabs>
          <w:tab w:val="clear" w:pos="360"/>
          <w:tab w:val="num" w:pos="1080"/>
        </w:tabs>
        <w:ind w:left="1080"/>
        <w:rPr>
          <w:rFonts w:ascii="ITCCenturyBookT" w:hAnsi="ITCCenturyBookT"/>
          <w:color w:val="000000"/>
          <w:sz w:val="22"/>
        </w:rPr>
      </w:pPr>
      <w:r>
        <w:rPr>
          <w:rFonts w:ascii="ITCCenturyBookT" w:hAnsi="ITCCenturyBookT"/>
          <w:color w:val="000000"/>
          <w:sz w:val="22"/>
        </w:rPr>
        <w:t>Working in chemical usage areas like chemical storage areas, waste treatment, waste storage areas, wafer fabs, biotech labs and chemical labs.</w:t>
      </w:r>
    </w:p>
    <w:p w14:paraId="5CF1DC07" w14:textId="77777777" w:rsidR="005C16F2" w:rsidRDefault="005C16F2" w:rsidP="005C16F2">
      <w:pPr>
        <w:pStyle w:val="bodytext0"/>
        <w:numPr>
          <w:ilvl w:val="0"/>
          <w:numId w:val="16"/>
        </w:numPr>
        <w:tabs>
          <w:tab w:val="clear" w:pos="360"/>
          <w:tab w:val="num" w:pos="1080"/>
        </w:tabs>
        <w:ind w:left="1080"/>
        <w:rPr>
          <w:rFonts w:ascii="ITCCenturyBookT" w:hAnsi="ITCCenturyBookT"/>
          <w:color w:val="000000"/>
          <w:sz w:val="22"/>
        </w:rPr>
      </w:pPr>
      <w:r>
        <w:rPr>
          <w:rFonts w:ascii="ITCCenturyBookT" w:hAnsi="ITCCenturyBookT"/>
          <w:color w:val="000000"/>
          <w:sz w:val="22"/>
        </w:rPr>
        <w:t>Working with tools, machines, or systems that contain process chemicals or chemical wastes.</w:t>
      </w:r>
    </w:p>
    <w:p w14:paraId="4592D47B" w14:textId="77777777" w:rsidR="005C16F2" w:rsidRDefault="005C16F2" w:rsidP="005C16F2">
      <w:pPr>
        <w:pStyle w:val="bodytext0"/>
        <w:numPr>
          <w:ilvl w:val="0"/>
          <w:numId w:val="16"/>
        </w:numPr>
        <w:tabs>
          <w:tab w:val="clear" w:pos="360"/>
          <w:tab w:val="num" w:pos="1080"/>
        </w:tabs>
        <w:ind w:left="1080"/>
        <w:rPr>
          <w:rFonts w:ascii="ITCCenturyBookT" w:hAnsi="ITCCenturyBookT"/>
          <w:color w:val="000000"/>
          <w:sz w:val="22"/>
        </w:rPr>
      </w:pPr>
      <w:r>
        <w:rPr>
          <w:rFonts w:ascii="ITCCenturyBookT" w:hAnsi="ITCCenturyBookT"/>
          <w:color w:val="000000"/>
          <w:sz w:val="22"/>
        </w:rPr>
        <w:t xml:space="preserve">Working with chemicals or delivering chemicals. </w:t>
      </w:r>
    </w:p>
    <w:p w14:paraId="2CEE47A7" w14:textId="77777777" w:rsidR="005C16F2" w:rsidRDefault="005C16F2" w:rsidP="005C16F2">
      <w:pPr>
        <w:pStyle w:val="bodytext0"/>
        <w:numPr>
          <w:ilvl w:val="0"/>
          <w:numId w:val="16"/>
        </w:numPr>
        <w:tabs>
          <w:tab w:val="clear" w:pos="360"/>
          <w:tab w:val="num" w:pos="1080"/>
        </w:tabs>
        <w:ind w:left="1080"/>
        <w:rPr>
          <w:rFonts w:ascii="ITCCenturyBookT" w:hAnsi="ITCCenturyBookT"/>
          <w:color w:val="000000"/>
          <w:sz w:val="22"/>
        </w:rPr>
      </w:pPr>
      <w:r>
        <w:rPr>
          <w:rFonts w:ascii="ITCCenturyBookT" w:hAnsi="ITCCenturyBookT"/>
          <w:color w:val="000000"/>
          <w:sz w:val="22"/>
        </w:rPr>
        <w:t>Working on energized electrical circuits and/or electrical related activities</w:t>
      </w:r>
    </w:p>
    <w:p w14:paraId="4C3FAAC2" w14:textId="77777777" w:rsidR="005C16F2" w:rsidRDefault="005C16F2" w:rsidP="005C16F2">
      <w:pPr>
        <w:pStyle w:val="bodytext0"/>
        <w:numPr>
          <w:ilvl w:val="0"/>
          <w:numId w:val="16"/>
        </w:numPr>
        <w:tabs>
          <w:tab w:val="clear" w:pos="360"/>
          <w:tab w:val="num" w:pos="1080"/>
        </w:tabs>
        <w:ind w:left="1080"/>
        <w:rPr>
          <w:rFonts w:ascii="ITCCenturyBookT" w:hAnsi="ITCCenturyBookT"/>
          <w:color w:val="000000"/>
          <w:sz w:val="22"/>
        </w:rPr>
      </w:pPr>
      <w:r>
        <w:rPr>
          <w:rFonts w:ascii="ITCCenturyBookT" w:hAnsi="ITCCenturyBookT"/>
          <w:color w:val="000000"/>
          <w:sz w:val="22"/>
        </w:rPr>
        <w:t>Working with mechanical equipment and/or machinery</w:t>
      </w:r>
    </w:p>
    <w:p w14:paraId="4186AD31" w14:textId="77777777" w:rsidR="005C16F2" w:rsidRDefault="005C16F2" w:rsidP="005C16F2">
      <w:pPr>
        <w:pStyle w:val="bodytext0"/>
        <w:numPr>
          <w:ilvl w:val="0"/>
          <w:numId w:val="16"/>
        </w:numPr>
        <w:tabs>
          <w:tab w:val="clear" w:pos="360"/>
          <w:tab w:val="num" w:pos="1080"/>
        </w:tabs>
        <w:ind w:left="1080"/>
        <w:rPr>
          <w:rFonts w:ascii="ITCCenturyBookT" w:hAnsi="ITCCenturyBookT"/>
          <w:color w:val="000000"/>
          <w:sz w:val="22"/>
        </w:rPr>
      </w:pPr>
      <w:r>
        <w:rPr>
          <w:rFonts w:ascii="ITCCenturyBookT" w:hAnsi="ITCCenturyBookT"/>
          <w:color w:val="000000"/>
          <w:sz w:val="22"/>
        </w:rPr>
        <w:t>Working on exposed elevated work surfaces above 6 feet.</w:t>
      </w:r>
    </w:p>
    <w:p w14:paraId="66AF0D09" w14:textId="77777777" w:rsidR="005C16F2" w:rsidRDefault="005C16F2" w:rsidP="005C16F2">
      <w:pPr>
        <w:pStyle w:val="bodytext0"/>
        <w:numPr>
          <w:ilvl w:val="0"/>
          <w:numId w:val="16"/>
        </w:numPr>
        <w:tabs>
          <w:tab w:val="clear" w:pos="360"/>
          <w:tab w:val="num" w:pos="1080"/>
        </w:tabs>
        <w:ind w:left="1080"/>
        <w:rPr>
          <w:rFonts w:ascii="ITCCenturyBookT" w:hAnsi="ITCCenturyBookT"/>
          <w:color w:val="000000"/>
          <w:sz w:val="22"/>
        </w:rPr>
      </w:pPr>
      <w:r>
        <w:rPr>
          <w:rFonts w:ascii="ITCCenturyBookT" w:hAnsi="ITCCenturyBookT"/>
          <w:color w:val="000000"/>
          <w:sz w:val="22"/>
        </w:rPr>
        <w:t>Construction related activities</w:t>
      </w:r>
    </w:p>
    <w:p w14:paraId="6494031C" w14:textId="77777777" w:rsidR="005C16F2" w:rsidRDefault="005C16F2" w:rsidP="005C16F2">
      <w:pPr>
        <w:pStyle w:val="bodytext0"/>
        <w:numPr>
          <w:ilvl w:val="0"/>
          <w:numId w:val="16"/>
        </w:numPr>
        <w:tabs>
          <w:tab w:val="clear" w:pos="360"/>
          <w:tab w:val="num" w:pos="1080"/>
        </w:tabs>
        <w:ind w:left="1080"/>
        <w:rPr>
          <w:rFonts w:ascii="ITCCenturyBookT" w:hAnsi="ITCCenturyBookT"/>
          <w:color w:val="000000"/>
          <w:sz w:val="22"/>
        </w:rPr>
      </w:pPr>
      <w:r>
        <w:rPr>
          <w:rFonts w:ascii="ITCCenturyBookT" w:hAnsi="ITCCenturyBookT"/>
          <w:color w:val="000000"/>
          <w:sz w:val="22"/>
        </w:rPr>
        <w:t>Other high-risk activities determined by the Project Manager and/or EHS.</w:t>
      </w:r>
    </w:p>
    <w:p w14:paraId="1D483825" w14:textId="77777777" w:rsidR="005C16F2" w:rsidRDefault="005C16F2" w:rsidP="005C16F2">
      <w:pPr>
        <w:pStyle w:val="bodytext0"/>
        <w:rPr>
          <w:rFonts w:ascii="ITCCenturyBookT" w:hAnsi="ITCCenturyBookT"/>
          <w:color w:val="000000"/>
          <w:sz w:val="22"/>
        </w:rPr>
      </w:pPr>
    </w:p>
    <w:p w14:paraId="769E974A" w14:textId="77777777" w:rsidR="005C16F2" w:rsidRPr="00540946" w:rsidRDefault="005C16F2" w:rsidP="005C16F2">
      <w:pPr>
        <w:pStyle w:val="bodytext0"/>
        <w:rPr>
          <w:rFonts w:ascii="ITCCenturyBookT" w:hAnsi="ITCCenturyBookT"/>
          <w:b/>
          <w:strike/>
          <w:color w:val="FF0000"/>
          <w:sz w:val="22"/>
          <w:szCs w:val="22"/>
        </w:rPr>
      </w:pPr>
      <w:r>
        <w:rPr>
          <w:rFonts w:ascii="ITCCenturyBookT" w:hAnsi="ITCCenturyBookT"/>
          <w:color w:val="000000"/>
          <w:sz w:val="22"/>
        </w:rPr>
        <w:t>Examples of High Impact Contractor activities may include: construction trades, facility operations and maintenance, environmental/HazMat cleanup and decontamination, process equipment installation, calibration, repair, maintenance, testing, chemical delivery, warehousing, shipping/receiving operations, landscaping, pest control, janitorial services, etc.  (Exam</w:t>
      </w:r>
      <w:r w:rsidRPr="00540946">
        <w:rPr>
          <w:rFonts w:ascii="ITCCenturyBookT" w:hAnsi="ITCCenturyBookT" w:cs="Arial"/>
          <w:sz w:val="22"/>
          <w:szCs w:val="22"/>
        </w:rPr>
        <w:t>ples are possibilities</w:t>
      </w:r>
      <w:r>
        <w:rPr>
          <w:rFonts w:ascii="ITCCenturyBookT" w:hAnsi="ITCCenturyBookT" w:cs="Arial"/>
          <w:sz w:val="22"/>
          <w:szCs w:val="22"/>
        </w:rPr>
        <w:t xml:space="preserve">; </w:t>
      </w:r>
      <w:r w:rsidRPr="00540946">
        <w:rPr>
          <w:rFonts w:ascii="ITCCenturyBookT" w:hAnsi="ITCCenturyBookT" w:cs="Arial"/>
          <w:sz w:val="22"/>
          <w:szCs w:val="22"/>
        </w:rPr>
        <w:t>the actual category of a contractor is determined by the type of operations they perform</w:t>
      </w:r>
      <w:r>
        <w:rPr>
          <w:rFonts w:ascii="ITCCenturyBookT" w:hAnsi="ITCCenturyBookT" w:cs="Arial"/>
          <w:sz w:val="22"/>
          <w:szCs w:val="22"/>
        </w:rPr>
        <w:t>.)</w:t>
      </w:r>
    </w:p>
    <w:p w14:paraId="3D1EE666" w14:textId="77777777" w:rsidR="005C16F2" w:rsidRPr="00AC4234" w:rsidRDefault="005C16F2" w:rsidP="005C16F2">
      <w:pPr>
        <w:autoSpaceDE w:val="0"/>
        <w:autoSpaceDN w:val="0"/>
        <w:adjustRightInd w:val="0"/>
        <w:rPr>
          <w:rFonts w:ascii="ITCCenturyBookT" w:hAnsi="ITCCenturyBookT"/>
          <w:color w:val="000000"/>
          <w:sz w:val="22"/>
        </w:rPr>
      </w:pPr>
    </w:p>
    <w:p w14:paraId="65799BE9" w14:textId="77777777" w:rsidR="005C16F2" w:rsidRDefault="005C16F2" w:rsidP="005C16F2">
      <w:pPr>
        <w:pStyle w:val="bodytext0"/>
        <w:spacing w:after="120"/>
        <w:rPr>
          <w:rFonts w:ascii="ITCCenturyBookT" w:hAnsi="ITCCenturyBookT"/>
          <w:sz w:val="22"/>
        </w:rPr>
      </w:pPr>
      <w:r w:rsidRPr="00AC4234">
        <w:rPr>
          <w:rFonts w:ascii="ITCCenturyBookT" w:hAnsi="ITCCenturyBookT"/>
          <w:color w:val="000000"/>
          <w:sz w:val="22"/>
        </w:rPr>
        <w:t>These requirements DO NOT apply to External Temporary Workers (</w:t>
      </w:r>
      <w:r>
        <w:rPr>
          <w:rFonts w:ascii="ITCCenturyBookT" w:hAnsi="ITCCenturyBookT"/>
          <w:sz w:val="22"/>
        </w:rPr>
        <w:t>ETW’s</w:t>
      </w:r>
      <w:r w:rsidRPr="00FF32D8">
        <w:rPr>
          <w:rFonts w:ascii="ITCCenturyBookT" w:hAnsi="ITCCenturyBookT"/>
          <w:i/>
          <w:sz w:val="22"/>
        </w:rPr>
        <w:t>)</w:t>
      </w:r>
      <w:r>
        <w:rPr>
          <w:rFonts w:ascii="ITCCenturyBookT" w:hAnsi="ITCCenturyBookT"/>
          <w:sz w:val="22"/>
        </w:rPr>
        <w:t>.</w:t>
      </w:r>
    </w:p>
    <w:p w14:paraId="055F3714" w14:textId="77777777" w:rsidR="005C16F2" w:rsidRDefault="005C16F2" w:rsidP="005C16F2">
      <w:pPr>
        <w:pStyle w:val="bodytext0"/>
        <w:ind w:left="0"/>
        <w:rPr>
          <w:rFonts w:ascii="ITCCenturyBookT" w:hAnsi="ITCCenturyBookT"/>
        </w:rPr>
      </w:pPr>
    </w:p>
    <w:p w14:paraId="30D0B04A" w14:textId="77777777" w:rsidR="005C16F2" w:rsidRDefault="005C16F2" w:rsidP="005C16F2">
      <w:pPr>
        <w:pStyle w:val="heading2"/>
        <w:numPr>
          <w:ilvl w:val="0"/>
          <w:numId w:val="1"/>
        </w:numPr>
        <w:rPr>
          <w:caps/>
        </w:rPr>
      </w:pPr>
      <w:r>
        <w:rPr>
          <w:caps/>
        </w:rPr>
        <w:t>Definitions</w:t>
      </w:r>
    </w:p>
    <w:p w14:paraId="5107DF4C" w14:textId="77777777" w:rsidR="005C16F2" w:rsidRDefault="005C16F2" w:rsidP="005C16F2">
      <w:pPr>
        <w:rPr>
          <w:rFonts w:ascii="ITCCenturyBookT" w:hAnsi="ITCCenturyBookT"/>
          <w:b/>
          <w:sz w:val="22"/>
        </w:rPr>
      </w:pPr>
    </w:p>
    <w:p w14:paraId="360E4D56" w14:textId="77777777" w:rsidR="005C16F2" w:rsidRDefault="005C16F2" w:rsidP="005C16F2">
      <w:pPr>
        <w:pStyle w:val="subheading1"/>
        <w:numPr>
          <w:ilvl w:val="1"/>
          <w:numId w:val="1"/>
        </w:numPr>
      </w:pPr>
      <w:r>
        <w:t>Agilent Project Manager / Agilent Host</w:t>
      </w:r>
    </w:p>
    <w:p w14:paraId="5DB9B734" w14:textId="77777777" w:rsidR="005C16F2" w:rsidRDefault="005C16F2" w:rsidP="005C16F2">
      <w:pPr>
        <w:pStyle w:val="bodytext0"/>
        <w:rPr>
          <w:rFonts w:ascii="ITCCenturyBookT" w:hAnsi="ITCCenturyBookT"/>
          <w:sz w:val="22"/>
        </w:rPr>
      </w:pPr>
      <w:r>
        <w:rPr>
          <w:rFonts w:ascii="ITCCenturyBookT" w:hAnsi="ITCCenturyBookT"/>
          <w:sz w:val="22"/>
        </w:rPr>
        <w:t>The Agilent representative assigned to oversee and coordinate projects involving Contractor work.  In the situation where a Project Manager may have a regional role managing the Contractor, an Agilent Host is the site contact.</w:t>
      </w:r>
    </w:p>
    <w:p w14:paraId="38B6335D" w14:textId="56710F33" w:rsidR="005C16F2" w:rsidRDefault="003B7895" w:rsidP="003B7895">
      <w:pPr>
        <w:pStyle w:val="subheading1"/>
        <w:numPr>
          <w:ilvl w:val="0"/>
          <w:numId w:val="0"/>
        </w:numPr>
        <w:tabs>
          <w:tab w:val="left" w:pos="5607"/>
        </w:tabs>
      </w:pPr>
      <w:r>
        <w:tab/>
      </w:r>
    </w:p>
    <w:p w14:paraId="40DD38B9" w14:textId="77777777" w:rsidR="005C16F2" w:rsidRDefault="005C16F2" w:rsidP="005C16F2">
      <w:pPr>
        <w:pStyle w:val="subheading1"/>
        <w:numPr>
          <w:ilvl w:val="1"/>
          <w:numId w:val="1"/>
        </w:numPr>
      </w:pPr>
      <w:r>
        <w:t>Contractor:</w:t>
      </w:r>
    </w:p>
    <w:p w14:paraId="01D5E50E" w14:textId="77777777" w:rsidR="005C16F2" w:rsidRDefault="005C16F2" w:rsidP="005C16F2">
      <w:pPr>
        <w:pStyle w:val="bodytext0"/>
        <w:rPr>
          <w:rFonts w:ascii="ITCCenturyBookT" w:hAnsi="ITCCenturyBookT"/>
          <w:color w:val="000000"/>
          <w:sz w:val="22"/>
        </w:rPr>
      </w:pPr>
      <w:r>
        <w:rPr>
          <w:rFonts w:ascii="ITCCenturyBookT" w:hAnsi="ITCCenturyBookT"/>
          <w:color w:val="000000"/>
          <w:sz w:val="22"/>
        </w:rPr>
        <w:lastRenderedPageBreak/>
        <w:t xml:space="preserve">A </w:t>
      </w:r>
      <w:r w:rsidRPr="00AC4234">
        <w:rPr>
          <w:rFonts w:ascii="ITCCenturyBookT" w:hAnsi="ITCCenturyBookT"/>
          <w:color w:val="000000"/>
          <w:sz w:val="22"/>
        </w:rPr>
        <w:t xml:space="preserve">firm </w:t>
      </w:r>
      <w:r>
        <w:rPr>
          <w:rFonts w:ascii="ITCCenturyBookT" w:hAnsi="ITCCenturyBookT"/>
          <w:color w:val="000000"/>
          <w:sz w:val="22"/>
        </w:rPr>
        <w:t xml:space="preserve">who is contracted directly with Agilent to perform work or provide services on the premises of Agilent Technologies, Inc. </w:t>
      </w:r>
    </w:p>
    <w:p w14:paraId="05C10762" w14:textId="77777777" w:rsidR="005C16F2" w:rsidRDefault="005C16F2" w:rsidP="005C16F2">
      <w:pPr>
        <w:pStyle w:val="bodytext0"/>
        <w:rPr>
          <w:rFonts w:ascii="ITCCenturyBookT" w:hAnsi="ITCCenturyBookT"/>
          <w:color w:val="000000"/>
          <w:sz w:val="22"/>
        </w:rPr>
      </w:pPr>
    </w:p>
    <w:p w14:paraId="5944DE0B" w14:textId="77777777" w:rsidR="005C16F2" w:rsidRDefault="005C16F2" w:rsidP="005C16F2">
      <w:pPr>
        <w:pStyle w:val="subheading1"/>
        <w:numPr>
          <w:ilvl w:val="0"/>
          <w:numId w:val="0"/>
        </w:numPr>
        <w:spacing w:after="120"/>
        <w:ind w:left="720"/>
        <w:rPr>
          <w:rFonts w:ascii="ITCCenturyBookT" w:hAnsi="ITCCenturyBookT"/>
          <w:sz w:val="22"/>
        </w:rPr>
      </w:pPr>
      <w:r>
        <w:t>3.3</w:t>
      </w:r>
      <w:r>
        <w:rPr>
          <w:sz w:val="22"/>
        </w:rPr>
        <w:tab/>
      </w:r>
      <w:r>
        <w:rPr>
          <w:rFonts w:ascii="ITCCenturyBookT" w:hAnsi="ITCCenturyBookT"/>
          <w:b w:val="0"/>
          <w:sz w:val="22"/>
        </w:rPr>
        <w:t xml:space="preserve">Other terms used in this standard are defined in Agilent EHS Standard – </w:t>
      </w:r>
      <w:hyperlink r:id="rId13" w:history="1">
        <w:r w:rsidRPr="00131025">
          <w:rPr>
            <w:rStyle w:val="Hyperlink"/>
            <w:rFonts w:ascii="ITCCenturyBookT" w:hAnsi="ITCCenturyBookT"/>
            <w:b w:val="0"/>
            <w:sz w:val="22"/>
          </w:rPr>
          <w:t>Definitions</w:t>
        </w:r>
      </w:hyperlink>
      <w:r>
        <w:rPr>
          <w:rFonts w:ascii="ITCCenturyBookT" w:hAnsi="ITCCenturyBookT"/>
          <w:b w:val="0"/>
          <w:sz w:val="22"/>
        </w:rPr>
        <w:t>.</w:t>
      </w:r>
    </w:p>
    <w:p w14:paraId="4207399D" w14:textId="77777777" w:rsidR="005C16F2" w:rsidRDefault="005C16F2" w:rsidP="005C16F2">
      <w:pPr>
        <w:pStyle w:val="subheading1"/>
        <w:numPr>
          <w:ilvl w:val="0"/>
          <w:numId w:val="0"/>
        </w:numPr>
      </w:pPr>
    </w:p>
    <w:p w14:paraId="2A3A0445" w14:textId="77777777" w:rsidR="005C16F2" w:rsidRDefault="005C16F2" w:rsidP="005C16F2">
      <w:pPr>
        <w:pStyle w:val="heading2"/>
        <w:numPr>
          <w:ilvl w:val="0"/>
          <w:numId w:val="1"/>
        </w:numPr>
        <w:spacing w:after="120"/>
        <w:rPr>
          <w:caps/>
        </w:rPr>
      </w:pPr>
      <w:r>
        <w:rPr>
          <w:caps/>
        </w:rPr>
        <w:t>Deviations</w:t>
      </w:r>
    </w:p>
    <w:p w14:paraId="0EC28271" w14:textId="77777777" w:rsidR="005C16F2" w:rsidRDefault="005C16F2" w:rsidP="005C16F2">
      <w:pPr>
        <w:pStyle w:val="bodytext0"/>
        <w:spacing w:after="120"/>
        <w:rPr>
          <w:rFonts w:ascii="ITCCenturyBookT" w:hAnsi="ITCCenturyBookT"/>
          <w:sz w:val="22"/>
        </w:rPr>
      </w:pPr>
      <w:r>
        <w:rPr>
          <w:rFonts w:ascii="ITCCenturyBookT" w:hAnsi="ITCCenturyBookT"/>
          <w:sz w:val="22"/>
        </w:rPr>
        <w:t>Deviations from this document are not permitted, except in cases where local regulations are more stringent.</w:t>
      </w:r>
    </w:p>
    <w:p w14:paraId="5712E571" w14:textId="77777777" w:rsidR="005C16F2" w:rsidRDefault="005C16F2" w:rsidP="005C16F2">
      <w:pPr>
        <w:pStyle w:val="bodytext0"/>
        <w:ind w:left="0"/>
        <w:rPr>
          <w:rFonts w:ascii="ITCCenturyBookT" w:hAnsi="ITCCenturyBookT"/>
        </w:rPr>
      </w:pPr>
    </w:p>
    <w:p w14:paraId="0AF90954" w14:textId="77777777" w:rsidR="005C16F2" w:rsidRDefault="005C16F2" w:rsidP="005C16F2">
      <w:pPr>
        <w:pStyle w:val="heading2"/>
        <w:numPr>
          <w:ilvl w:val="0"/>
          <w:numId w:val="1"/>
        </w:numPr>
        <w:spacing w:after="120"/>
        <w:rPr>
          <w:color w:val="000000"/>
        </w:rPr>
      </w:pPr>
      <w:r>
        <w:rPr>
          <w:color w:val="000000"/>
        </w:rPr>
        <w:t>E</w:t>
      </w:r>
      <w:r>
        <w:rPr>
          <w:caps/>
          <w:color w:val="000000"/>
        </w:rPr>
        <w:t xml:space="preserve">nvironmental Management System AND </w:t>
      </w:r>
      <w:r w:rsidRPr="001D53B2">
        <w:rPr>
          <w:caps/>
          <w:color w:val="000000"/>
        </w:rPr>
        <w:t>ISO 14001 Requirements</w:t>
      </w:r>
    </w:p>
    <w:p w14:paraId="0EE796DD" w14:textId="77777777" w:rsidR="005C16F2" w:rsidRDefault="005C16F2" w:rsidP="005C16F2">
      <w:pPr>
        <w:pStyle w:val="bodytext0"/>
        <w:rPr>
          <w:rFonts w:ascii="ITCCenturyBookT" w:hAnsi="ITCCenturyBookT"/>
          <w:caps/>
          <w:sz w:val="22"/>
        </w:rPr>
      </w:pPr>
      <w:r>
        <w:rPr>
          <w:rFonts w:ascii="ITCCenturyBookT" w:hAnsi="ITCCenturyBookT"/>
          <w:sz w:val="22"/>
        </w:rPr>
        <w:t xml:space="preserve">Applicable to both </w:t>
      </w:r>
      <w:r>
        <w:rPr>
          <w:rFonts w:ascii="ITCCenturyBookT" w:hAnsi="ITCCenturyBookT"/>
          <w:b/>
          <w:i/>
          <w:sz w:val="22"/>
        </w:rPr>
        <w:t>Low Impact</w:t>
      </w:r>
      <w:r>
        <w:rPr>
          <w:rFonts w:ascii="ITCCenturyBookT" w:hAnsi="ITCCenturyBookT"/>
          <w:sz w:val="22"/>
        </w:rPr>
        <w:t xml:space="preserve"> and </w:t>
      </w:r>
      <w:r>
        <w:rPr>
          <w:rFonts w:ascii="ITCCenturyBookT" w:hAnsi="ITCCenturyBookT"/>
          <w:b/>
          <w:i/>
          <w:sz w:val="22"/>
        </w:rPr>
        <w:t>High Impact Contractors</w:t>
      </w:r>
      <w:r>
        <w:rPr>
          <w:rFonts w:ascii="ITCCenturyBookT" w:hAnsi="ITCCenturyBookT"/>
          <w:i/>
          <w:sz w:val="22"/>
        </w:rPr>
        <w:t>.</w:t>
      </w:r>
    </w:p>
    <w:p w14:paraId="65934A5D" w14:textId="77777777" w:rsidR="005C16F2" w:rsidRDefault="005C16F2" w:rsidP="005C16F2">
      <w:pPr>
        <w:pStyle w:val="bodytext0"/>
        <w:rPr>
          <w:rFonts w:ascii="ITCCenturyBookT" w:hAnsi="ITCCenturyBookT"/>
          <w:sz w:val="22"/>
        </w:rPr>
      </w:pPr>
    </w:p>
    <w:p w14:paraId="5E98C6D2" w14:textId="77777777" w:rsidR="005C16F2" w:rsidRDefault="005C16F2" w:rsidP="005C16F2">
      <w:pPr>
        <w:pStyle w:val="bodytext0"/>
        <w:rPr>
          <w:rFonts w:ascii="ITCCenturyBookT" w:hAnsi="ITCCenturyBookT"/>
          <w:color w:val="000000"/>
          <w:sz w:val="22"/>
        </w:rPr>
      </w:pPr>
      <w:r>
        <w:rPr>
          <w:rFonts w:ascii="ITCCenturyBookT" w:hAnsi="ITCCenturyBookT"/>
          <w:color w:val="000000"/>
          <w:sz w:val="22"/>
        </w:rPr>
        <w:t xml:space="preserve">Agilent Technologies has established an Environmental Health and Safety Management System (EHSMS) that formalizes our programs to identify and minimize environmental, occupational health and safety risks.  The EHSMS is implemented company-wide and supports Agilent’s EHS policy.  </w:t>
      </w:r>
    </w:p>
    <w:p w14:paraId="26105BDA" w14:textId="77777777" w:rsidR="005C16F2" w:rsidRDefault="005C16F2" w:rsidP="005C16F2">
      <w:pPr>
        <w:pStyle w:val="bodytext0"/>
        <w:rPr>
          <w:rFonts w:ascii="ITCCenturyBookT" w:hAnsi="ITCCenturyBookT"/>
          <w:color w:val="000000"/>
          <w:sz w:val="22"/>
        </w:rPr>
      </w:pPr>
    </w:p>
    <w:p w14:paraId="5CA093CF" w14:textId="77777777" w:rsidR="005C16F2" w:rsidRDefault="005C16F2" w:rsidP="005C16F2">
      <w:pPr>
        <w:pStyle w:val="bodytext0"/>
        <w:rPr>
          <w:rFonts w:ascii="ITCCenturyBookT" w:hAnsi="ITCCenturyBookT"/>
          <w:sz w:val="22"/>
        </w:rPr>
      </w:pPr>
      <w:r>
        <w:rPr>
          <w:rFonts w:ascii="ITCCenturyBookT" w:hAnsi="ITCCenturyBookT"/>
          <w:color w:val="000000"/>
          <w:sz w:val="22"/>
        </w:rPr>
        <w:t>Agilent has registered several manufacturing sites to the ISO 14001 Environmental Management</w:t>
      </w:r>
      <w:r>
        <w:rPr>
          <w:rFonts w:ascii="ITCCenturyBookT" w:hAnsi="ITCCenturyBookT"/>
          <w:sz w:val="22"/>
        </w:rPr>
        <w:t xml:space="preserve"> System Standard.  To maintain this registration and comply with Agilent’s EHSMS, sites are required to demonstrate strong commitment to environmental  and safety regulatory compliance, resource conservation, and pollution prevention.  Contractors are an integral part of this ISO 14001 certification and EHSMS effort.  Therefore, Agilent Contractors are expected to fully support and cooperate with these programs.</w:t>
      </w:r>
    </w:p>
    <w:p w14:paraId="17534F55" w14:textId="77777777" w:rsidR="005C16F2" w:rsidRDefault="005C16F2" w:rsidP="005C16F2">
      <w:pPr>
        <w:pStyle w:val="bodytext0"/>
        <w:ind w:left="0"/>
        <w:rPr>
          <w:rFonts w:ascii="ITCCenturyBookT" w:hAnsi="ITCCenturyBookT"/>
          <w:sz w:val="22"/>
        </w:rPr>
      </w:pPr>
    </w:p>
    <w:p w14:paraId="72172F44" w14:textId="77777777" w:rsidR="005C16F2" w:rsidRDefault="00D3542A" w:rsidP="005C16F2">
      <w:pPr>
        <w:pStyle w:val="bodytext0"/>
        <w:rPr>
          <w:rFonts w:ascii="ITCCenturyBookT" w:hAnsi="ITCCenturyBookT"/>
          <w:sz w:val="22"/>
        </w:rPr>
      </w:pPr>
      <w:hyperlink r:id="rId14" w:history="1">
        <w:r w:rsidR="005C16F2" w:rsidRPr="009C2E9F">
          <w:rPr>
            <w:rStyle w:val="Hyperlink"/>
            <w:rFonts w:ascii="ITCCenturyBookT" w:hAnsi="ITCCenturyBookT"/>
            <w:sz w:val="22"/>
          </w:rPr>
          <w:t>Agilent EHS Policy</w:t>
        </w:r>
      </w:hyperlink>
    </w:p>
    <w:p w14:paraId="7E7D372A" w14:textId="77777777" w:rsidR="005C16F2" w:rsidRPr="002A5343" w:rsidRDefault="005C16F2" w:rsidP="005C16F2">
      <w:pPr>
        <w:pStyle w:val="bodytext0"/>
        <w:rPr>
          <w:rFonts w:ascii="ITCCenturyBookT" w:hAnsi="ITCCenturyBookT"/>
          <w:color w:val="000000"/>
          <w:sz w:val="22"/>
        </w:rPr>
      </w:pPr>
      <w:r w:rsidRPr="002A5343">
        <w:rPr>
          <w:rFonts w:ascii="ITCCenturyBookT" w:hAnsi="ITCCenturyBookT"/>
          <w:color w:val="000000"/>
          <w:sz w:val="22"/>
        </w:rPr>
        <w:t>Agilent is committed to providing healthy and safe work environments and processes that enable our people to work injury and illness free while acting in an environmentally responsible manner. To achieve this we:</w:t>
      </w:r>
    </w:p>
    <w:p w14:paraId="24BA4304" w14:textId="77777777" w:rsidR="005C16F2" w:rsidRPr="00AF0628" w:rsidRDefault="005C16F2" w:rsidP="005C16F2">
      <w:pPr>
        <w:numPr>
          <w:ilvl w:val="0"/>
          <w:numId w:val="42"/>
        </w:numPr>
        <w:spacing w:after="210" w:line="276" w:lineRule="auto"/>
        <w:rPr>
          <w:rFonts w:asciiTheme="minorHAnsi" w:hAnsiTheme="minorHAnsi"/>
          <w:sz w:val="24"/>
          <w:szCs w:val="24"/>
          <w:lang w:val="en-GB"/>
        </w:rPr>
      </w:pPr>
      <w:r w:rsidRPr="00AF0628">
        <w:rPr>
          <w:rFonts w:asciiTheme="minorHAnsi" w:hAnsiTheme="minorHAnsi"/>
          <w:sz w:val="24"/>
          <w:szCs w:val="24"/>
          <w:lang w:val="en-GB"/>
        </w:rPr>
        <w:t>Ensure Agilent Technologies operations, products and services comply with applicable environmental, health and safety regulations and implement controls to meet additional company requirements.</w:t>
      </w:r>
    </w:p>
    <w:p w14:paraId="18A9B491" w14:textId="77777777" w:rsidR="005C16F2" w:rsidRPr="00AF0628" w:rsidRDefault="005C16F2" w:rsidP="005C16F2">
      <w:pPr>
        <w:numPr>
          <w:ilvl w:val="0"/>
          <w:numId w:val="42"/>
        </w:numPr>
        <w:spacing w:after="210" w:line="276" w:lineRule="auto"/>
        <w:rPr>
          <w:rFonts w:asciiTheme="minorHAnsi" w:hAnsiTheme="minorHAnsi"/>
          <w:sz w:val="24"/>
          <w:szCs w:val="24"/>
          <w:lang w:val="en-GB"/>
        </w:rPr>
      </w:pPr>
      <w:r w:rsidRPr="00AF0628">
        <w:rPr>
          <w:rFonts w:asciiTheme="minorHAnsi" w:hAnsiTheme="minorHAnsi"/>
          <w:sz w:val="24"/>
          <w:szCs w:val="24"/>
          <w:lang w:val="en-GB"/>
        </w:rPr>
        <w:t>Operate an environmental, health and safety management system aligned to the requirements of ISO14001 that ensures continuous improvement through risk assessment, risk minimization, and performance reporting.</w:t>
      </w:r>
    </w:p>
    <w:p w14:paraId="4180D66C" w14:textId="77777777" w:rsidR="005C16F2" w:rsidRPr="00AF0628" w:rsidRDefault="005C16F2" w:rsidP="005C16F2">
      <w:pPr>
        <w:numPr>
          <w:ilvl w:val="0"/>
          <w:numId w:val="42"/>
        </w:numPr>
        <w:spacing w:after="210" w:line="276" w:lineRule="auto"/>
        <w:rPr>
          <w:rFonts w:asciiTheme="minorHAnsi" w:hAnsiTheme="minorHAnsi"/>
          <w:sz w:val="24"/>
          <w:szCs w:val="24"/>
          <w:lang w:val="en-GB"/>
        </w:rPr>
      </w:pPr>
      <w:r w:rsidRPr="00AF0628">
        <w:rPr>
          <w:rFonts w:asciiTheme="minorHAnsi" w:hAnsiTheme="minorHAnsi"/>
          <w:sz w:val="24"/>
          <w:szCs w:val="24"/>
          <w:lang w:val="en-GB"/>
        </w:rPr>
        <w:t>Operate in a manner that is committed to continual improvement in environmental sustainability through recycling, waste minimization, conservation of resources, prevention of pollution, product development, management of hazardous materials, and promotion of environmental responsibility amongst our employees.</w:t>
      </w:r>
    </w:p>
    <w:p w14:paraId="06AECC79" w14:textId="77777777" w:rsidR="005C16F2" w:rsidRPr="00AF0628" w:rsidRDefault="005C16F2" w:rsidP="005C16F2">
      <w:pPr>
        <w:numPr>
          <w:ilvl w:val="0"/>
          <w:numId w:val="42"/>
        </w:numPr>
        <w:spacing w:after="210" w:line="276" w:lineRule="auto"/>
        <w:rPr>
          <w:rFonts w:asciiTheme="minorHAnsi" w:hAnsiTheme="minorHAnsi"/>
          <w:sz w:val="24"/>
          <w:szCs w:val="24"/>
          <w:lang w:val="en-GB"/>
        </w:rPr>
      </w:pPr>
      <w:r w:rsidRPr="00AF0628">
        <w:rPr>
          <w:rFonts w:asciiTheme="minorHAnsi" w:hAnsiTheme="minorHAnsi"/>
          <w:sz w:val="24"/>
          <w:szCs w:val="24"/>
          <w:lang w:val="en-GB"/>
        </w:rPr>
        <w:lastRenderedPageBreak/>
        <w:t>Assure managers and employees are trained and accountable for preventing work related injuries and illnesses, and provide appropriate wellness programs that contribute to the productivity, health and well-being of employees.</w:t>
      </w:r>
    </w:p>
    <w:p w14:paraId="7AE6EC42" w14:textId="77777777" w:rsidR="005C16F2" w:rsidRDefault="005C16F2" w:rsidP="005C16F2">
      <w:pPr>
        <w:numPr>
          <w:ilvl w:val="0"/>
          <w:numId w:val="42"/>
        </w:numPr>
        <w:spacing w:after="210" w:line="276" w:lineRule="auto"/>
        <w:rPr>
          <w:rFonts w:asciiTheme="minorHAnsi" w:hAnsiTheme="minorHAnsi"/>
          <w:sz w:val="24"/>
          <w:szCs w:val="24"/>
          <w:lang w:val="en-GB"/>
        </w:rPr>
      </w:pPr>
      <w:r w:rsidRPr="00AF0628">
        <w:rPr>
          <w:rFonts w:asciiTheme="minorHAnsi" w:hAnsiTheme="minorHAnsi"/>
          <w:sz w:val="24"/>
          <w:szCs w:val="24"/>
          <w:lang w:val="en-GB"/>
        </w:rPr>
        <w:t>Inform suppliers, including contractors, of our environmental, health and safety principles and require them to adopt practices aligned with these expectations.</w:t>
      </w:r>
    </w:p>
    <w:p w14:paraId="693D85A5" w14:textId="77777777" w:rsidR="005C16F2" w:rsidRPr="00C27808" w:rsidRDefault="005C16F2" w:rsidP="005C16F2">
      <w:pPr>
        <w:pStyle w:val="bodytext0"/>
        <w:rPr>
          <w:rFonts w:ascii="ITCCenturyBookT" w:hAnsi="ITCCenturyBookT"/>
          <w:sz w:val="22"/>
        </w:rPr>
      </w:pPr>
    </w:p>
    <w:p w14:paraId="783CECA5" w14:textId="77777777" w:rsidR="005C16F2" w:rsidRPr="001D53B2" w:rsidRDefault="005C16F2" w:rsidP="005C16F2">
      <w:pPr>
        <w:pStyle w:val="heading2"/>
        <w:numPr>
          <w:ilvl w:val="0"/>
          <w:numId w:val="1"/>
        </w:numPr>
        <w:spacing w:after="120"/>
        <w:rPr>
          <w:caps/>
          <w:color w:val="000000"/>
        </w:rPr>
      </w:pPr>
      <w:r w:rsidRPr="001D53B2">
        <w:rPr>
          <w:caps/>
          <w:color w:val="000000"/>
        </w:rPr>
        <w:t>General Requirements</w:t>
      </w:r>
    </w:p>
    <w:p w14:paraId="544F70BF" w14:textId="77777777" w:rsidR="005C16F2" w:rsidRDefault="005C16F2" w:rsidP="005C16F2">
      <w:pPr>
        <w:pStyle w:val="bodytext0"/>
        <w:rPr>
          <w:rFonts w:ascii="ITCCenturyBookT" w:hAnsi="ITCCenturyBookT"/>
          <w:caps/>
          <w:sz w:val="22"/>
        </w:rPr>
      </w:pPr>
      <w:r>
        <w:rPr>
          <w:rFonts w:ascii="ITCCenturyBookT" w:hAnsi="ITCCenturyBookT"/>
          <w:sz w:val="22"/>
        </w:rPr>
        <w:t xml:space="preserve">Applicable to both </w:t>
      </w:r>
      <w:r>
        <w:rPr>
          <w:rFonts w:ascii="ITCCenturyBookT" w:hAnsi="ITCCenturyBookT"/>
          <w:b/>
          <w:i/>
          <w:color w:val="000000"/>
          <w:sz w:val="22"/>
        </w:rPr>
        <w:t>Low Impact</w:t>
      </w:r>
      <w:r>
        <w:rPr>
          <w:rFonts w:ascii="ITCCenturyBookT" w:hAnsi="ITCCenturyBookT"/>
          <w:sz w:val="22"/>
        </w:rPr>
        <w:t xml:space="preserve"> and</w:t>
      </w:r>
      <w:r>
        <w:rPr>
          <w:rFonts w:ascii="ITCCenturyBookT" w:hAnsi="ITCCenturyBookT"/>
          <w:i/>
          <w:sz w:val="22"/>
        </w:rPr>
        <w:t xml:space="preserve"> </w:t>
      </w:r>
      <w:r>
        <w:rPr>
          <w:rFonts w:ascii="ITCCenturyBookT" w:hAnsi="ITCCenturyBookT"/>
          <w:b/>
          <w:i/>
          <w:sz w:val="22"/>
        </w:rPr>
        <w:t>High Impact Contractors</w:t>
      </w:r>
      <w:r>
        <w:rPr>
          <w:rFonts w:ascii="ITCCenturyBookT" w:hAnsi="ITCCenturyBookT"/>
          <w:i/>
          <w:sz w:val="22"/>
        </w:rPr>
        <w:t>.</w:t>
      </w:r>
    </w:p>
    <w:p w14:paraId="06A54481" w14:textId="77777777" w:rsidR="005C16F2" w:rsidRDefault="005C16F2" w:rsidP="005C16F2">
      <w:pPr>
        <w:pStyle w:val="subheading1"/>
        <w:numPr>
          <w:ilvl w:val="0"/>
          <w:numId w:val="0"/>
        </w:numPr>
        <w:ind w:left="720"/>
      </w:pPr>
    </w:p>
    <w:p w14:paraId="0D41B8AC" w14:textId="77777777" w:rsidR="005C16F2" w:rsidRDefault="005C16F2" w:rsidP="005C16F2">
      <w:pPr>
        <w:pStyle w:val="subheading1"/>
        <w:numPr>
          <w:ilvl w:val="1"/>
          <w:numId w:val="1"/>
        </w:numPr>
      </w:pPr>
      <w:r>
        <w:t xml:space="preserve">Regulatory Compliance </w:t>
      </w:r>
    </w:p>
    <w:p w14:paraId="2D564D9E" w14:textId="77777777" w:rsidR="005C16F2" w:rsidRDefault="005C16F2" w:rsidP="005C16F2">
      <w:pPr>
        <w:pStyle w:val="subheading2"/>
        <w:ind w:left="1440" w:firstLine="0"/>
        <w:rPr>
          <w:rFonts w:ascii="ITCCenturyBookT" w:hAnsi="ITCCenturyBookT"/>
          <w:b w:val="0"/>
          <w:sz w:val="22"/>
        </w:rPr>
      </w:pPr>
      <w:r>
        <w:rPr>
          <w:rFonts w:ascii="ITCCenturyBookT" w:hAnsi="ITCCenturyBookT"/>
          <w:b w:val="0"/>
          <w:sz w:val="22"/>
        </w:rPr>
        <w:t>The Contractor and Sub-Contractor personnel shall:</w:t>
      </w:r>
    </w:p>
    <w:p w14:paraId="62EC638A" w14:textId="77777777" w:rsidR="005C16F2" w:rsidRDefault="005C16F2" w:rsidP="005C16F2">
      <w:pPr>
        <w:pStyle w:val="subheading2"/>
        <w:numPr>
          <w:ilvl w:val="0"/>
          <w:numId w:val="6"/>
        </w:numPr>
        <w:tabs>
          <w:tab w:val="clear" w:pos="360"/>
        </w:tabs>
        <w:ind w:left="2160" w:hanging="720"/>
        <w:rPr>
          <w:rFonts w:ascii="ITCCenturyBookT" w:hAnsi="ITCCenturyBookT"/>
          <w:b w:val="0"/>
          <w:color w:val="000000"/>
          <w:sz w:val="22"/>
        </w:rPr>
      </w:pPr>
      <w:r>
        <w:rPr>
          <w:rFonts w:ascii="ITCCenturyBookT" w:hAnsi="ITCCenturyBookT"/>
          <w:b w:val="0"/>
          <w:color w:val="000000"/>
          <w:sz w:val="22"/>
        </w:rPr>
        <w:t>Ensure compliance with all applicable laws and regulations of any governmental entity or sovereign authority that pertain to environmental, health and safety standards and/or work practices.  This would include developing and implementing appropriate job-specific EHS programs.</w:t>
      </w:r>
    </w:p>
    <w:p w14:paraId="21B3875E" w14:textId="77777777" w:rsidR="005C16F2" w:rsidRDefault="005C16F2" w:rsidP="005C16F2">
      <w:pPr>
        <w:pStyle w:val="subheading2"/>
        <w:numPr>
          <w:ilvl w:val="0"/>
          <w:numId w:val="6"/>
        </w:numPr>
        <w:tabs>
          <w:tab w:val="clear" w:pos="360"/>
        </w:tabs>
        <w:ind w:left="2160" w:hanging="720"/>
        <w:rPr>
          <w:rFonts w:ascii="ITCCenturyBookT" w:hAnsi="ITCCenturyBookT"/>
          <w:b w:val="0"/>
          <w:color w:val="000000"/>
          <w:sz w:val="22"/>
        </w:rPr>
      </w:pPr>
      <w:r>
        <w:rPr>
          <w:rFonts w:ascii="ITCCenturyBookT" w:hAnsi="ITCCenturyBookT"/>
          <w:b w:val="0"/>
          <w:color w:val="000000"/>
          <w:sz w:val="22"/>
        </w:rPr>
        <w:t>Correct unsafe work practices, conditions, and regulatory violations committed by Contractor and Sub-Contractor personnel.</w:t>
      </w:r>
    </w:p>
    <w:p w14:paraId="7F5CD9A4" w14:textId="77777777" w:rsidR="005C16F2" w:rsidRDefault="005C16F2" w:rsidP="005C16F2">
      <w:pPr>
        <w:pStyle w:val="subheading2"/>
        <w:numPr>
          <w:ilvl w:val="0"/>
          <w:numId w:val="6"/>
        </w:numPr>
        <w:tabs>
          <w:tab w:val="clear" w:pos="360"/>
        </w:tabs>
        <w:ind w:left="2160" w:hanging="720"/>
        <w:rPr>
          <w:rFonts w:ascii="ITCCenturyBookT" w:hAnsi="ITCCenturyBookT"/>
          <w:b w:val="0"/>
          <w:color w:val="000000"/>
          <w:sz w:val="22"/>
        </w:rPr>
      </w:pPr>
      <w:r>
        <w:rPr>
          <w:rFonts w:ascii="ITCCenturyBookT" w:hAnsi="ITCCenturyBookT"/>
          <w:b w:val="0"/>
          <w:color w:val="000000"/>
          <w:sz w:val="22"/>
        </w:rPr>
        <w:t xml:space="preserve">Notify the Agilent Project Manager/Host of conditions or practices found on site that could result in serious injury, property damage, or environmental damage. </w:t>
      </w:r>
    </w:p>
    <w:p w14:paraId="28166722" w14:textId="77777777" w:rsidR="005C16F2" w:rsidRDefault="005C16F2" w:rsidP="005C16F2">
      <w:pPr>
        <w:pStyle w:val="subheading1"/>
        <w:numPr>
          <w:ilvl w:val="0"/>
          <w:numId w:val="0"/>
        </w:numPr>
        <w:ind w:left="1440"/>
      </w:pPr>
    </w:p>
    <w:p w14:paraId="7E7F553F" w14:textId="77777777" w:rsidR="005C16F2" w:rsidRDefault="005C16F2" w:rsidP="005C16F2">
      <w:pPr>
        <w:pStyle w:val="subheading1"/>
        <w:numPr>
          <w:ilvl w:val="1"/>
          <w:numId w:val="1"/>
        </w:numPr>
        <w:rPr>
          <w:snapToGrid w:val="0"/>
        </w:rPr>
      </w:pPr>
      <w:r>
        <w:t>Emergency Reporting</w:t>
      </w:r>
      <w:r>
        <w:rPr>
          <w:vertAlign w:val="superscript"/>
        </w:rPr>
        <w:t>1</w:t>
      </w:r>
    </w:p>
    <w:p w14:paraId="75F6402E"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Dial the site emergency number to report any emergency. </w:t>
      </w:r>
    </w:p>
    <w:p w14:paraId="03090CF1" w14:textId="77777777" w:rsidR="005C16F2" w:rsidRDefault="005C16F2" w:rsidP="005C16F2">
      <w:pPr>
        <w:pStyle w:val="subheading2"/>
        <w:ind w:left="1440" w:firstLine="0"/>
        <w:rPr>
          <w:rFonts w:ascii="ITCCenturyBookT" w:hAnsi="ITCCenturyBookT"/>
          <w:color w:val="000000"/>
        </w:rPr>
      </w:pPr>
    </w:p>
    <w:p w14:paraId="0D422024" w14:textId="77777777" w:rsidR="005C16F2" w:rsidRDefault="005C16F2" w:rsidP="005C16F2">
      <w:pPr>
        <w:pStyle w:val="subheading1"/>
        <w:numPr>
          <w:ilvl w:val="1"/>
          <w:numId w:val="1"/>
        </w:numPr>
        <w:rPr>
          <w:snapToGrid w:val="0"/>
        </w:rPr>
      </w:pPr>
      <w:r>
        <w:t>Medical Emergencies</w:t>
      </w:r>
      <w:r>
        <w:rPr>
          <w:rStyle w:val="FootnoteReference"/>
          <w:snapToGrid w:val="0"/>
        </w:rPr>
        <w:footnoteReference w:customMarkFollows="1" w:id="1"/>
        <w:t>1</w:t>
      </w:r>
    </w:p>
    <w:p w14:paraId="3CD7CD76"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In the event of a medical emergency and when an infirmary, clinic or hospital is not in reasonable proximity to an Agilent site, the Contractor is responsible for providing trained first aid responders and adequate first aid supplies per local jurisdiction.  The Contractor doesn’t have to have</w:t>
      </w:r>
      <w:r w:rsidRPr="00F216F3">
        <w:rPr>
          <w:rFonts w:ascii="ITCCenturyBookT" w:hAnsi="ITCCenturyBookT"/>
          <w:b w:val="0"/>
          <w:color w:val="000000"/>
          <w:sz w:val="22"/>
        </w:rPr>
        <w:t xml:space="preserve"> on-site first aid capabilities, but they </w:t>
      </w:r>
      <w:r>
        <w:rPr>
          <w:rFonts w:ascii="ITCCenturyBookT" w:hAnsi="ITCCenturyBookT"/>
          <w:b w:val="0"/>
          <w:color w:val="000000"/>
          <w:sz w:val="22"/>
        </w:rPr>
        <w:t xml:space="preserve">must </w:t>
      </w:r>
      <w:r w:rsidRPr="00F216F3">
        <w:rPr>
          <w:rFonts w:ascii="ITCCenturyBookT" w:hAnsi="ITCCenturyBookT"/>
          <w:b w:val="0"/>
          <w:color w:val="000000"/>
          <w:sz w:val="22"/>
        </w:rPr>
        <w:t>have a process that doesn’t rely on Agilent</w:t>
      </w:r>
      <w:r>
        <w:rPr>
          <w:rFonts w:ascii="ITCCenturyBookT" w:hAnsi="ITCCenturyBookT"/>
          <w:b w:val="0"/>
          <w:color w:val="000000"/>
          <w:sz w:val="22"/>
        </w:rPr>
        <w:t xml:space="preserve">. </w:t>
      </w:r>
    </w:p>
    <w:p w14:paraId="3DF2042C" w14:textId="77777777" w:rsidR="005C16F2" w:rsidRDefault="005C16F2" w:rsidP="005C16F2">
      <w:pPr>
        <w:pStyle w:val="subheading2"/>
        <w:ind w:left="1440" w:firstLine="0"/>
        <w:rPr>
          <w:rFonts w:ascii="ITCCenturyBookT" w:hAnsi="ITCCenturyBookT"/>
          <w:b w:val="0"/>
          <w:color w:val="000000"/>
          <w:sz w:val="22"/>
        </w:rPr>
      </w:pPr>
    </w:p>
    <w:p w14:paraId="0896CE26"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Many Agilent sites have trained emergency responders who may respond to medical emergencies.  However, Agilent Emergency Response Teams may not be available during all work hours or on weekends and holidays.   </w:t>
      </w:r>
    </w:p>
    <w:p w14:paraId="1C6F4A32" w14:textId="77777777" w:rsidR="005C16F2" w:rsidRDefault="005C16F2" w:rsidP="005C16F2">
      <w:pPr>
        <w:pStyle w:val="subheading2"/>
        <w:ind w:left="1440" w:firstLine="0"/>
        <w:rPr>
          <w:b w:val="0"/>
          <w:snapToGrid w:val="0"/>
          <w:color w:val="000000"/>
        </w:rPr>
      </w:pPr>
    </w:p>
    <w:p w14:paraId="747E1117" w14:textId="77777777" w:rsidR="005C16F2" w:rsidRDefault="005C16F2" w:rsidP="005C16F2">
      <w:pPr>
        <w:pStyle w:val="subheading1"/>
        <w:numPr>
          <w:ilvl w:val="1"/>
          <w:numId w:val="1"/>
        </w:numPr>
        <w:rPr>
          <w:caps/>
          <w:snapToGrid w:val="0"/>
        </w:rPr>
      </w:pPr>
      <w:r>
        <w:t>Evacuations</w:t>
      </w:r>
      <w:r>
        <w:rPr>
          <w:vertAlign w:val="superscript"/>
        </w:rPr>
        <w:t>1</w:t>
      </w:r>
    </w:p>
    <w:p w14:paraId="236290A6"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All Contractor and Sub-Contractor personnel must know the evacuation alarm signals, emergency evacuation routes and evacuation assembly/staging areas for their primary work locations.  When the building alarm sounds or notification is given, all individuals MUST evacuate. </w:t>
      </w:r>
    </w:p>
    <w:p w14:paraId="1753FC5C" w14:textId="77777777" w:rsidR="005C16F2" w:rsidRDefault="005C16F2" w:rsidP="005C16F2">
      <w:pPr>
        <w:pStyle w:val="subheading1"/>
        <w:numPr>
          <w:ilvl w:val="0"/>
          <w:numId w:val="0"/>
        </w:numPr>
        <w:ind w:left="720"/>
      </w:pPr>
    </w:p>
    <w:p w14:paraId="0C0516EA" w14:textId="77777777" w:rsidR="005C16F2" w:rsidRDefault="005C16F2" w:rsidP="005C16F2">
      <w:pPr>
        <w:pStyle w:val="subheading1"/>
        <w:numPr>
          <w:ilvl w:val="1"/>
          <w:numId w:val="1"/>
        </w:numPr>
      </w:pPr>
      <w:r>
        <w:t>Incident Reporting</w:t>
      </w:r>
    </w:p>
    <w:p w14:paraId="3A4CB90B"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All incidents resulting in injuries that require medical treatment (i.e., more than first aid) and property damage or "near miss" incidents that could have resulted in serious injury or property damage must immediately be reported to the Agilent Project Manager/Host in writing or via email.  A copy of the completed incident report must be given to the Agilent Project Manager/Host within 48 hours.</w:t>
      </w:r>
    </w:p>
    <w:p w14:paraId="2C63B104" w14:textId="77777777" w:rsidR="005C16F2" w:rsidRDefault="005C16F2" w:rsidP="005C16F2">
      <w:pPr>
        <w:pStyle w:val="subheading2"/>
        <w:ind w:left="1440" w:firstLine="0"/>
        <w:rPr>
          <w:color w:val="000000"/>
        </w:rPr>
      </w:pPr>
    </w:p>
    <w:p w14:paraId="078AAE03" w14:textId="77777777" w:rsidR="005C16F2" w:rsidRDefault="005C16F2" w:rsidP="005C16F2">
      <w:pPr>
        <w:pStyle w:val="subheading1"/>
        <w:numPr>
          <w:ilvl w:val="1"/>
          <w:numId w:val="1"/>
        </w:numPr>
        <w:rPr>
          <w:color w:val="000000"/>
        </w:rPr>
      </w:pPr>
      <w:r>
        <w:rPr>
          <w:color w:val="000000"/>
        </w:rPr>
        <w:t>Report of Injuries</w:t>
      </w:r>
    </w:p>
    <w:p w14:paraId="6E426E79" w14:textId="77777777" w:rsidR="005C16F2" w:rsidRPr="00D8707F"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The contractor shall report to the Agilent Project Manager /Host all work-related injuries, and illnesses involving Contractor/Subcontractor workers, that require medical treatment (i.e., more than first aid), as soon as the Contractor obtains knowledge of such incident. </w:t>
      </w:r>
    </w:p>
    <w:p w14:paraId="0594F971" w14:textId="77777777" w:rsidR="005C16F2" w:rsidRDefault="005C16F2" w:rsidP="005C16F2">
      <w:pPr>
        <w:pStyle w:val="subheading2"/>
        <w:ind w:left="1440" w:firstLine="0"/>
        <w:rPr>
          <w:rFonts w:ascii="ITCCenturyBookT" w:hAnsi="ITCCenturyBookT"/>
          <w:b w:val="0"/>
          <w:color w:val="000000"/>
          <w:sz w:val="22"/>
        </w:rPr>
      </w:pPr>
    </w:p>
    <w:p w14:paraId="3F3223AA"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The Contractor is also responsible for maintaining records of lost time and restricted time that result from work-related injuries or illnesses sustained by its workers or subcontractor workers assigned to work at Agilent.  These records shall be available for inspection upon request by Agilent within the scope of applicable data privacy regulations.  </w:t>
      </w:r>
    </w:p>
    <w:p w14:paraId="018F12C5" w14:textId="77777777" w:rsidR="005C16F2" w:rsidRDefault="005C16F2" w:rsidP="005C16F2">
      <w:pPr>
        <w:pStyle w:val="subheading2"/>
        <w:ind w:left="1440" w:firstLine="0"/>
        <w:rPr>
          <w:rFonts w:ascii="ITCCenturyBookT" w:hAnsi="ITCCenturyBookT"/>
          <w:b w:val="0"/>
          <w:color w:val="000000"/>
          <w:sz w:val="22"/>
        </w:rPr>
      </w:pPr>
    </w:p>
    <w:p w14:paraId="68CFB328" w14:textId="77777777" w:rsidR="005C16F2" w:rsidRDefault="005C16F2" w:rsidP="005C16F2">
      <w:pPr>
        <w:pStyle w:val="subheading2"/>
        <w:ind w:left="1440" w:firstLine="0"/>
        <w:rPr>
          <w:rFonts w:ascii="ITCCenturyBookT" w:hAnsi="ITCCenturyBookT"/>
          <w:b w:val="0"/>
          <w:strike/>
          <w:color w:val="000000"/>
          <w:sz w:val="22"/>
        </w:rPr>
      </w:pPr>
      <w:r>
        <w:rPr>
          <w:rFonts w:ascii="ITCCenturyBookT" w:hAnsi="ITCCenturyBookT"/>
          <w:b w:val="0"/>
          <w:color w:val="000000"/>
          <w:sz w:val="22"/>
        </w:rPr>
        <w:t xml:space="preserve">The Contractor is responsible for immediately notifying the appropriate regulatory agencies or related governmental entities or sovereign authorities, and/or insurance carrier, as required by country or local jurisdiction, of any occupational injury or illness involving the contractor/subcontractor workers.  The contractor is further responsible for completing and submitting any reports or other records required by the above notifications. </w:t>
      </w:r>
    </w:p>
    <w:p w14:paraId="0318EA17" w14:textId="77777777" w:rsidR="005C16F2" w:rsidRDefault="005C16F2" w:rsidP="005C16F2">
      <w:pPr>
        <w:pStyle w:val="subheading2"/>
        <w:ind w:left="1440" w:firstLine="0"/>
        <w:rPr>
          <w:b w:val="0"/>
          <w:color w:val="000000"/>
        </w:rPr>
      </w:pPr>
    </w:p>
    <w:p w14:paraId="6DD92A27" w14:textId="77777777" w:rsidR="005C16F2" w:rsidRDefault="005C16F2" w:rsidP="005C16F2">
      <w:pPr>
        <w:pStyle w:val="subheading1"/>
        <w:numPr>
          <w:ilvl w:val="1"/>
          <w:numId w:val="1"/>
        </w:numPr>
        <w:rPr>
          <w:snapToGrid w:val="0"/>
        </w:rPr>
      </w:pPr>
      <w:r>
        <w:t>Incident Investigation</w:t>
      </w:r>
    </w:p>
    <w:p w14:paraId="3F33040B" w14:textId="77777777" w:rsidR="005C16F2" w:rsidRDefault="005C16F2" w:rsidP="005C16F2">
      <w:pPr>
        <w:pStyle w:val="subheading2"/>
        <w:ind w:left="1440" w:firstLine="0"/>
        <w:rPr>
          <w:rFonts w:ascii="ITCCenturyBookT" w:hAnsi="ITCCenturyBookT"/>
          <w:b w:val="0"/>
          <w:snapToGrid w:val="0"/>
          <w:color w:val="000000"/>
          <w:sz w:val="22"/>
        </w:rPr>
      </w:pPr>
      <w:r>
        <w:rPr>
          <w:rFonts w:ascii="ITCCenturyBookT" w:hAnsi="ITCCenturyBookT"/>
          <w:b w:val="0"/>
          <w:color w:val="000000"/>
          <w:sz w:val="22"/>
        </w:rPr>
        <w:t>All serious or potentially serious incidents involving Contractor and Subcontractor personnel on Agilent property or those that involve Agilent employees or property damage will be investigated jointly by the Contractor, the Agilent Project Manager/Host, and a member of the Agilent EHS staff when available.</w:t>
      </w:r>
      <w:r>
        <w:rPr>
          <w:rFonts w:ascii="ITCCenturyBookT" w:hAnsi="ITCCenturyBookT"/>
          <w:b w:val="0"/>
          <w:snapToGrid w:val="0"/>
          <w:color w:val="000000"/>
          <w:sz w:val="22"/>
        </w:rPr>
        <w:t xml:space="preserve"> </w:t>
      </w:r>
    </w:p>
    <w:p w14:paraId="232EFDBA" w14:textId="77777777" w:rsidR="005C16F2" w:rsidRDefault="005C16F2" w:rsidP="005C16F2">
      <w:pPr>
        <w:pStyle w:val="subheading2"/>
        <w:ind w:left="1440" w:firstLine="0"/>
        <w:rPr>
          <w:color w:val="000000"/>
        </w:rPr>
      </w:pPr>
    </w:p>
    <w:p w14:paraId="5CC89957" w14:textId="77777777" w:rsidR="005C16F2" w:rsidRDefault="005C16F2" w:rsidP="005C16F2">
      <w:pPr>
        <w:pStyle w:val="subheading1"/>
        <w:numPr>
          <w:ilvl w:val="1"/>
          <w:numId w:val="1"/>
        </w:numPr>
        <w:rPr>
          <w:color w:val="000000"/>
        </w:rPr>
      </w:pPr>
      <w:r>
        <w:rPr>
          <w:color w:val="000000"/>
        </w:rPr>
        <w:t>Hazard Reporting</w:t>
      </w:r>
    </w:p>
    <w:p w14:paraId="16AF9778"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Any identified hazards discovered by the contractor that is beyond their ability and/or responsibility to fix must be immediately reported to the Agilent Project Manager/Host for immediate corrective action.</w:t>
      </w:r>
    </w:p>
    <w:p w14:paraId="6952898B" w14:textId="77777777" w:rsidR="005C16F2" w:rsidRDefault="005C16F2" w:rsidP="005C16F2">
      <w:pPr>
        <w:pStyle w:val="subheading2"/>
        <w:ind w:left="1440" w:firstLine="0"/>
        <w:rPr>
          <w:color w:val="000000"/>
        </w:rPr>
      </w:pPr>
    </w:p>
    <w:p w14:paraId="1E73871E" w14:textId="77777777" w:rsidR="005C16F2" w:rsidRDefault="005C16F2" w:rsidP="005C16F2">
      <w:pPr>
        <w:pStyle w:val="subheading1"/>
        <w:numPr>
          <w:ilvl w:val="1"/>
          <w:numId w:val="1"/>
        </w:numPr>
        <w:rPr>
          <w:color w:val="000000"/>
        </w:rPr>
      </w:pPr>
      <w:r>
        <w:rPr>
          <w:color w:val="000000"/>
        </w:rPr>
        <w:t>Emergency Equipment Access</w:t>
      </w:r>
    </w:p>
    <w:p w14:paraId="511359C5"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Access to emergency equipment (including electrical panels) must be kept clear at all times (e.g., fire extinguishers, emergency showers / eyewash stations, alarm pull stations, MERT boxes, AED’s, ERT equipment, wheel chairs, etc.).</w:t>
      </w:r>
    </w:p>
    <w:p w14:paraId="6E67CC88" w14:textId="77777777" w:rsidR="005C16F2" w:rsidRDefault="005C16F2" w:rsidP="005C16F2">
      <w:pPr>
        <w:pStyle w:val="bodytext20"/>
        <w:ind w:left="1440" w:firstLine="0"/>
        <w:rPr>
          <w:rFonts w:ascii="ITCCenturyBookT" w:hAnsi="ITCCenturyBookT"/>
          <w:color w:val="000000"/>
          <w:sz w:val="22"/>
        </w:rPr>
      </w:pPr>
    </w:p>
    <w:p w14:paraId="1F1E61D0"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Emergency Equipment must not be removed or relocated without approval from an Agilent Project Manager.</w:t>
      </w:r>
    </w:p>
    <w:p w14:paraId="6B9B2B52" w14:textId="77777777" w:rsidR="005C16F2" w:rsidRDefault="005C16F2" w:rsidP="005C16F2">
      <w:pPr>
        <w:pStyle w:val="subheading2"/>
        <w:ind w:left="1440" w:firstLine="0"/>
        <w:rPr>
          <w:color w:val="000000"/>
        </w:rPr>
      </w:pPr>
    </w:p>
    <w:p w14:paraId="3AD9E2EC" w14:textId="77777777" w:rsidR="005C16F2" w:rsidRDefault="005C16F2" w:rsidP="005C16F2">
      <w:pPr>
        <w:pStyle w:val="subheading1"/>
        <w:numPr>
          <w:ilvl w:val="1"/>
          <w:numId w:val="1"/>
        </w:numPr>
        <w:rPr>
          <w:color w:val="000000"/>
        </w:rPr>
      </w:pPr>
      <w:r>
        <w:rPr>
          <w:color w:val="000000"/>
        </w:rPr>
        <w:t>Injury Illness Prevention Program / Safety Program</w:t>
      </w:r>
    </w:p>
    <w:p w14:paraId="53E3546B"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lastRenderedPageBreak/>
        <w:t>The contractor shall develop and maintain all appropriate safety programs or injury and illness prevention programs for its workers assigned to Agilent.  Such programs shall include training that is appropriate to the type of work which Contractor’s workers are to perform, and shall adhere to all regulatory requirements.</w:t>
      </w:r>
    </w:p>
    <w:p w14:paraId="532A8129" w14:textId="77777777" w:rsidR="005C16F2" w:rsidRDefault="005C16F2" w:rsidP="005C16F2">
      <w:pPr>
        <w:pStyle w:val="subheading2"/>
        <w:ind w:left="1440" w:firstLine="0"/>
        <w:rPr>
          <w:rFonts w:ascii="ITCCenturyBookT" w:hAnsi="ITCCenturyBookT"/>
          <w:color w:val="000000"/>
        </w:rPr>
      </w:pPr>
    </w:p>
    <w:p w14:paraId="20A9D824" w14:textId="77777777" w:rsidR="005C16F2" w:rsidRDefault="005C16F2" w:rsidP="005C16F2">
      <w:pPr>
        <w:pStyle w:val="subheading1"/>
        <w:numPr>
          <w:ilvl w:val="1"/>
          <w:numId w:val="1"/>
        </w:numPr>
        <w:rPr>
          <w:color w:val="000000"/>
        </w:rPr>
      </w:pPr>
      <w:r>
        <w:rPr>
          <w:color w:val="000000"/>
        </w:rPr>
        <w:t>Safety Equipment</w:t>
      </w:r>
    </w:p>
    <w:p w14:paraId="2ED5932D"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Prior to commencement of an assignment, contractor will assure that contract and subcontract personnel are outfitted with all appropriate personal protective equipment (PPE) that is issued for the specific person (e.g., steel-toed shoes and prescription safety glasses with side shields) and appropriate “general issue” PPE (e.g., hearing protection and non-prescription safety glasses) and PPE for site specific hazards (e.g., respirators and laser eye protection).</w:t>
      </w:r>
    </w:p>
    <w:p w14:paraId="527C04BB" w14:textId="77777777" w:rsidR="005C16F2" w:rsidRDefault="005C16F2" w:rsidP="005C16F2">
      <w:pPr>
        <w:pStyle w:val="subheading2"/>
        <w:ind w:left="1440" w:firstLine="0"/>
        <w:rPr>
          <w:rFonts w:ascii="ITCCenturyBookT" w:hAnsi="ITCCenturyBookT"/>
          <w:color w:val="000000"/>
        </w:rPr>
      </w:pPr>
    </w:p>
    <w:p w14:paraId="7ACE5C89" w14:textId="77777777" w:rsidR="005C16F2" w:rsidRDefault="005C16F2" w:rsidP="005C16F2">
      <w:pPr>
        <w:pStyle w:val="subheading1"/>
        <w:numPr>
          <w:ilvl w:val="1"/>
          <w:numId w:val="1"/>
        </w:numPr>
      </w:pPr>
      <w:r>
        <w:t>Corrective Action Process</w:t>
      </w:r>
    </w:p>
    <w:p w14:paraId="59C0F578"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The Contractor must implement a process to track closure of any corrective actions identified as a result of an incident investigation, compliance audit or non-conformance with our Environmental, Health &amp; Safety Management System. </w:t>
      </w:r>
    </w:p>
    <w:p w14:paraId="5A95E69E" w14:textId="77777777" w:rsidR="005C16F2" w:rsidRDefault="005C16F2" w:rsidP="005C16F2">
      <w:pPr>
        <w:pStyle w:val="subheading2"/>
        <w:ind w:left="1440" w:firstLine="0"/>
        <w:rPr>
          <w:rFonts w:ascii="ITCCenturyBookT" w:hAnsi="ITCCenturyBookT"/>
          <w:color w:val="000000"/>
        </w:rPr>
      </w:pPr>
    </w:p>
    <w:p w14:paraId="43BD1610" w14:textId="77777777" w:rsidR="005C16F2" w:rsidRDefault="005C16F2" w:rsidP="005C16F2">
      <w:pPr>
        <w:pStyle w:val="subheading1"/>
        <w:numPr>
          <w:ilvl w:val="1"/>
          <w:numId w:val="1"/>
        </w:numPr>
        <w:rPr>
          <w:snapToGrid w:val="0"/>
        </w:rPr>
      </w:pPr>
      <w:r>
        <w:t>Smoking Policy</w:t>
      </w:r>
      <w:r>
        <w:rPr>
          <w:rStyle w:val="FootnoteReference"/>
        </w:rPr>
        <w:footnoteReference w:customMarkFollows="1" w:id="2"/>
        <w:t>1</w:t>
      </w:r>
    </w:p>
    <w:p w14:paraId="48043569"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Agilent Technologies has a NO SMOKING policy for all owned or leased facilities.  Smoking is not permitted inside any building or structure, near any building entrances, near air intakes or common paths of travel.  Smoking is only allowed in designated outdoor “SMOKING AREAS”.</w:t>
      </w:r>
    </w:p>
    <w:p w14:paraId="6481CF90" w14:textId="77777777" w:rsidR="005C16F2" w:rsidRDefault="005C16F2" w:rsidP="005C16F2">
      <w:pPr>
        <w:pStyle w:val="subheading1"/>
        <w:numPr>
          <w:ilvl w:val="0"/>
          <w:numId w:val="0"/>
        </w:numPr>
        <w:ind w:left="720"/>
      </w:pPr>
    </w:p>
    <w:p w14:paraId="6304C005" w14:textId="77777777" w:rsidR="005C16F2" w:rsidRDefault="005C16F2" w:rsidP="005C16F2">
      <w:pPr>
        <w:pStyle w:val="subheading1"/>
        <w:numPr>
          <w:ilvl w:val="1"/>
          <w:numId w:val="1"/>
        </w:numPr>
        <w:rPr>
          <w:caps/>
          <w:snapToGrid w:val="0"/>
          <w:color w:val="000000"/>
        </w:rPr>
      </w:pPr>
      <w:r>
        <w:rPr>
          <w:color w:val="000000"/>
        </w:rPr>
        <w:t>Environmental Health &amp; Safety Training</w:t>
      </w:r>
    </w:p>
    <w:p w14:paraId="4847718F" w14:textId="77777777" w:rsidR="005C16F2" w:rsidRDefault="005C16F2" w:rsidP="005C16F2">
      <w:pPr>
        <w:pStyle w:val="subheading1"/>
        <w:numPr>
          <w:ilvl w:val="0"/>
          <w:numId w:val="0"/>
        </w:numPr>
        <w:ind w:left="1440"/>
        <w:rPr>
          <w:rFonts w:ascii="ITCCenturyBookT" w:hAnsi="ITCCenturyBookT"/>
          <w:b w:val="0"/>
          <w:color w:val="000000"/>
          <w:sz w:val="22"/>
        </w:rPr>
      </w:pPr>
      <w:r w:rsidRPr="009A256F">
        <w:rPr>
          <w:rFonts w:ascii="ITCCenturyBookT" w:hAnsi="ITCCenturyBookT"/>
          <w:b w:val="0"/>
          <w:color w:val="000000"/>
          <w:sz w:val="22"/>
        </w:rPr>
        <w:t>The Contractor is responsible for ensuring all of its employees and subcontractors have the proper training with regard to environmental, health, and safety and are competent to perform their job functions at Agilent work sites.  Contractor will participate in any limited training offered by Agilent to ensure that Contractor employees and subcontractors are familiar with Agilent’s products, safety procedures, and environmental requirements, etc.  The Contractor will make a copy of the content of their training available to Agilent upon request.  Agilent may provide the Contractor with a copy of Agilent’s training content for comparison purposes.  The Contractor is not allowed to use any material with the Agilent name or logo unless authorized by Agilent.</w:t>
      </w:r>
    </w:p>
    <w:p w14:paraId="77DC4A72" w14:textId="77777777" w:rsidR="005C16F2" w:rsidRDefault="005C16F2" w:rsidP="005C16F2">
      <w:pPr>
        <w:pStyle w:val="subheading1"/>
        <w:numPr>
          <w:ilvl w:val="0"/>
          <w:numId w:val="0"/>
        </w:numPr>
        <w:ind w:left="1440"/>
        <w:rPr>
          <w:rFonts w:ascii="ITCCenturyBookT" w:hAnsi="ITCCenturyBookT"/>
          <w:b w:val="0"/>
          <w:color w:val="000000"/>
          <w:sz w:val="22"/>
        </w:rPr>
      </w:pPr>
    </w:p>
    <w:p w14:paraId="5920ECE7" w14:textId="77777777" w:rsidR="005C16F2" w:rsidRPr="009A256F" w:rsidRDefault="005C16F2" w:rsidP="005C16F2">
      <w:pPr>
        <w:pStyle w:val="subheading1"/>
        <w:numPr>
          <w:ilvl w:val="0"/>
          <w:numId w:val="0"/>
        </w:numPr>
        <w:ind w:left="1440"/>
        <w:rPr>
          <w:rFonts w:ascii="ITCCenturyBookT" w:hAnsi="ITCCenturyBookT"/>
          <w:b w:val="0"/>
          <w:color w:val="000000"/>
          <w:sz w:val="22"/>
        </w:rPr>
      </w:pPr>
      <w:r>
        <w:rPr>
          <w:rFonts w:ascii="ITCCenturyBookT" w:hAnsi="ITCCenturyBookT"/>
          <w:b w:val="0"/>
          <w:color w:val="000000"/>
          <w:sz w:val="22"/>
        </w:rPr>
        <w:t xml:space="preserve">Training expectations for contractors working at non-U.S. Agilent sites are covered by the paragraph above and local country regulations.  Additional information on the training expectations for contractors working at Agilent sites in the U.S. are contained in Appendix D.  </w:t>
      </w:r>
    </w:p>
    <w:p w14:paraId="5F2D2C90" w14:textId="77777777" w:rsidR="005C16F2" w:rsidRDefault="005C16F2" w:rsidP="005C16F2">
      <w:pPr>
        <w:pStyle w:val="subheading1"/>
        <w:numPr>
          <w:ilvl w:val="0"/>
          <w:numId w:val="0"/>
        </w:numPr>
        <w:ind w:left="720"/>
      </w:pPr>
    </w:p>
    <w:p w14:paraId="63137790" w14:textId="77777777" w:rsidR="005C16F2" w:rsidRDefault="005C16F2" w:rsidP="005C16F2">
      <w:pPr>
        <w:pStyle w:val="subheading1"/>
        <w:numPr>
          <w:ilvl w:val="1"/>
          <w:numId w:val="1"/>
        </w:numPr>
      </w:pPr>
      <w:r>
        <w:t>Licenses / Permits</w:t>
      </w:r>
    </w:p>
    <w:p w14:paraId="7CDEB4B0" w14:textId="77777777" w:rsidR="005C16F2" w:rsidRDefault="005C16F2" w:rsidP="005C16F2">
      <w:pPr>
        <w:pStyle w:val="subheading2"/>
        <w:ind w:left="1440" w:firstLine="0"/>
        <w:rPr>
          <w:rFonts w:ascii="ITCCenturyBookT" w:hAnsi="ITCCenturyBookT"/>
          <w:snapToGrid w:val="0"/>
          <w:color w:val="000000"/>
          <w:sz w:val="22"/>
        </w:rPr>
      </w:pPr>
      <w:r>
        <w:rPr>
          <w:rFonts w:ascii="ITCCenturyBookT" w:hAnsi="ITCCenturyBookT"/>
          <w:b w:val="0"/>
          <w:color w:val="000000"/>
          <w:sz w:val="22"/>
        </w:rPr>
        <w:t>The Contractor must ensure all contractor and subcontract personnel have the required licenses or permits for the work they perform.</w:t>
      </w:r>
      <w:r>
        <w:rPr>
          <w:rFonts w:ascii="ITCCenturyBookT" w:hAnsi="ITCCenturyBookT"/>
          <w:snapToGrid w:val="0"/>
          <w:color w:val="000000"/>
          <w:sz w:val="22"/>
        </w:rPr>
        <w:t xml:space="preserve"> </w:t>
      </w:r>
    </w:p>
    <w:p w14:paraId="06C6BAED" w14:textId="77777777" w:rsidR="005C16F2" w:rsidRDefault="005C16F2" w:rsidP="005C16F2">
      <w:pPr>
        <w:ind w:left="720"/>
        <w:rPr>
          <w:snapToGrid w:val="0"/>
          <w:color w:val="000000"/>
          <w:sz w:val="24"/>
        </w:rPr>
      </w:pPr>
    </w:p>
    <w:p w14:paraId="10FDDAA9" w14:textId="77777777" w:rsidR="005C16F2" w:rsidRDefault="005C16F2" w:rsidP="005C16F2">
      <w:pPr>
        <w:pStyle w:val="subheading1"/>
        <w:numPr>
          <w:ilvl w:val="1"/>
          <w:numId w:val="1"/>
        </w:numPr>
        <w:rPr>
          <w:snapToGrid w:val="0"/>
        </w:rPr>
      </w:pPr>
      <w:r>
        <w:t>Clean Room Protocol</w:t>
      </w:r>
      <w:r>
        <w:rPr>
          <w:vertAlign w:val="superscript"/>
        </w:rPr>
        <w:t>1</w:t>
      </w:r>
    </w:p>
    <w:p w14:paraId="75BA4096" w14:textId="77777777" w:rsidR="005C16F2" w:rsidRDefault="005C16F2" w:rsidP="005C16F2">
      <w:pPr>
        <w:pStyle w:val="subheading2"/>
        <w:ind w:left="1440" w:firstLine="0"/>
        <w:rPr>
          <w:rFonts w:ascii="ITCCenturyBookT" w:hAnsi="ITCCenturyBookT"/>
          <w:snapToGrid w:val="0"/>
          <w:color w:val="000000"/>
          <w:sz w:val="22"/>
        </w:rPr>
      </w:pPr>
      <w:r>
        <w:rPr>
          <w:rFonts w:ascii="ITCCenturyBookT" w:hAnsi="ITCCenturyBookT"/>
          <w:b w:val="0"/>
          <w:color w:val="000000"/>
          <w:sz w:val="22"/>
        </w:rPr>
        <w:lastRenderedPageBreak/>
        <w:t>Agilent defined gowning protocol must be followed in areas sensitive to contamination (e.g., laboratories, biotech labs, etc.).</w:t>
      </w:r>
    </w:p>
    <w:p w14:paraId="054CA75E" w14:textId="77777777" w:rsidR="005C16F2" w:rsidRDefault="005C16F2" w:rsidP="005C16F2">
      <w:pPr>
        <w:ind w:left="720"/>
        <w:rPr>
          <w:snapToGrid w:val="0"/>
          <w:color w:val="000000"/>
          <w:sz w:val="24"/>
        </w:rPr>
      </w:pPr>
    </w:p>
    <w:p w14:paraId="68BD71C6" w14:textId="77777777" w:rsidR="005C16F2" w:rsidRDefault="005C16F2" w:rsidP="005C16F2">
      <w:pPr>
        <w:pStyle w:val="subheading1"/>
        <w:numPr>
          <w:ilvl w:val="1"/>
          <w:numId w:val="1"/>
        </w:numPr>
        <w:rPr>
          <w:snapToGrid w:val="0"/>
        </w:rPr>
      </w:pPr>
      <w:r>
        <w:t>Parking / Traffic</w:t>
      </w:r>
    </w:p>
    <w:p w14:paraId="46C2B4B6"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All traffic rules must be obeyed while on Agilent properties including stop signs, yield signs, parking restrictions, pedestrian crosswalks, and posted speed limits.</w:t>
      </w:r>
    </w:p>
    <w:p w14:paraId="369B86A8" w14:textId="77777777" w:rsidR="005C16F2" w:rsidRDefault="005C16F2" w:rsidP="005C16F2">
      <w:pPr>
        <w:ind w:left="720"/>
        <w:outlineLvl w:val="0"/>
        <w:rPr>
          <w:b/>
          <w:i/>
          <w:snapToGrid w:val="0"/>
          <w:color w:val="000000"/>
          <w:sz w:val="24"/>
        </w:rPr>
      </w:pPr>
    </w:p>
    <w:p w14:paraId="07899B06" w14:textId="77777777" w:rsidR="005C16F2" w:rsidRDefault="005C16F2" w:rsidP="005C16F2">
      <w:pPr>
        <w:pStyle w:val="subheading1"/>
        <w:numPr>
          <w:ilvl w:val="1"/>
          <w:numId w:val="1"/>
        </w:numPr>
      </w:pPr>
      <w:r>
        <w:t>Use of Equipment / Vehicles</w:t>
      </w:r>
    </w:p>
    <w:p w14:paraId="450CED4D" w14:textId="77777777" w:rsidR="005C16F2" w:rsidRDefault="005C16F2" w:rsidP="005C16F2">
      <w:pPr>
        <w:pStyle w:val="subheading2"/>
        <w:ind w:left="1440" w:firstLine="0"/>
        <w:rPr>
          <w:rFonts w:ascii="ITCCenturyBookT" w:hAnsi="ITCCenturyBookT"/>
          <w:snapToGrid w:val="0"/>
          <w:color w:val="000000"/>
          <w:sz w:val="22"/>
        </w:rPr>
      </w:pPr>
      <w:r>
        <w:rPr>
          <w:rFonts w:ascii="ITCCenturyBookT" w:hAnsi="ITCCenturyBookT"/>
          <w:b w:val="0"/>
          <w:color w:val="000000"/>
          <w:sz w:val="22"/>
        </w:rPr>
        <w:t>The Contractor must provide their own tools, equipment, and vehicles.  All tools and equipment must be clearly labeled with ownership identification.</w:t>
      </w:r>
    </w:p>
    <w:p w14:paraId="1BF87EB0" w14:textId="77777777" w:rsidR="005C16F2" w:rsidRDefault="005C16F2" w:rsidP="005C16F2">
      <w:pPr>
        <w:ind w:left="720"/>
        <w:rPr>
          <w:snapToGrid w:val="0"/>
          <w:color w:val="000000"/>
          <w:sz w:val="24"/>
        </w:rPr>
      </w:pPr>
    </w:p>
    <w:p w14:paraId="2720E601" w14:textId="77777777" w:rsidR="005C16F2" w:rsidRDefault="005C16F2" w:rsidP="005C16F2">
      <w:pPr>
        <w:pStyle w:val="subheading1"/>
        <w:numPr>
          <w:ilvl w:val="1"/>
          <w:numId w:val="1"/>
        </w:numPr>
        <w:rPr>
          <w:caps/>
          <w:snapToGrid w:val="0"/>
        </w:rPr>
      </w:pPr>
      <w:r>
        <w:t>New Equipment</w:t>
      </w:r>
      <w:r>
        <w:rPr>
          <w:rStyle w:val="FootnoteReference"/>
        </w:rPr>
        <w:footnoteReference w:customMarkFollows="1" w:id="3"/>
        <w:t>1</w:t>
      </w:r>
    </w:p>
    <w:p w14:paraId="34247374" w14:textId="77777777" w:rsidR="005C16F2" w:rsidRDefault="005C16F2" w:rsidP="005C16F2">
      <w:pPr>
        <w:pStyle w:val="subheading2"/>
        <w:keepNext/>
        <w:keepLines/>
        <w:ind w:left="1440" w:firstLine="0"/>
        <w:rPr>
          <w:rFonts w:ascii="ITCCenturyBookT" w:hAnsi="ITCCenturyBookT"/>
          <w:b w:val="0"/>
          <w:color w:val="000000"/>
          <w:sz w:val="22"/>
        </w:rPr>
      </w:pPr>
      <w:r>
        <w:rPr>
          <w:rFonts w:ascii="ITCCenturyBookT" w:hAnsi="ITCCenturyBookT"/>
          <w:b w:val="0"/>
          <w:color w:val="000000"/>
          <w:sz w:val="22"/>
        </w:rPr>
        <w:t>New equipment purchased or leased on Agilent's behalf that poses facility or environmental and/or safety concerns, must follow site “New Equipment Purchase" procedures.  Coordinate with the Agilent Project Manager/Host.</w:t>
      </w:r>
    </w:p>
    <w:p w14:paraId="756E00BB" w14:textId="77777777" w:rsidR="005C16F2" w:rsidRDefault="005C16F2" w:rsidP="005C16F2">
      <w:pPr>
        <w:widowControl w:val="0"/>
        <w:tabs>
          <w:tab w:val="left" w:pos="798"/>
          <w:tab w:val="num" w:pos="1710"/>
          <w:tab w:val="left" w:pos="2160"/>
          <w:tab w:val="left" w:pos="2970"/>
          <w:tab w:val="left" w:pos="3600"/>
          <w:tab w:val="left" w:pos="4050"/>
          <w:tab w:val="left" w:pos="5040"/>
        </w:tabs>
        <w:ind w:left="798" w:firstLine="12"/>
        <w:rPr>
          <w:snapToGrid w:val="0"/>
          <w:color w:val="000000"/>
          <w:sz w:val="24"/>
        </w:rPr>
      </w:pPr>
    </w:p>
    <w:p w14:paraId="181EECBD" w14:textId="77777777" w:rsidR="005C16F2" w:rsidRDefault="005C16F2" w:rsidP="005C16F2">
      <w:pPr>
        <w:pStyle w:val="subheading1"/>
        <w:numPr>
          <w:ilvl w:val="1"/>
          <w:numId w:val="1"/>
        </w:numPr>
      </w:pPr>
      <w:r>
        <w:t>Visitors</w:t>
      </w:r>
    </w:p>
    <w:p w14:paraId="756CCA3A"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Contractors are not allowed to bring visitors or family onto the site unless pre-approved by the Agilent Project Manager / Host.</w:t>
      </w:r>
    </w:p>
    <w:p w14:paraId="6996FC6B" w14:textId="77777777" w:rsidR="005C16F2" w:rsidRDefault="005C16F2" w:rsidP="005C16F2">
      <w:pPr>
        <w:pStyle w:val="subheading2"/>
        <w:ind w:left="1440" w:firstLine="0"/>
        <w:rPr>
          <w:b w:val="0"/>
          <w:color w:val="000000"/>
        </w:rPr>
      </w:pPr>
    </w:p>
    <w:p w14:paraId="605E7D8B" w14:textId="77777777" w:rsidR="005C16F2" w:rsidRDefault="005C16F2" w:rsidP="005C16F2">
      <w:pPr>
        <w:pStyle w:val="subheading1"/>
        <w:numPr>
          <w:ilvl w:val="1"/>
          <w:numId w:val="1"/>
        </w:numPr>
        <w:rPr>
          <w:color w:val="000000"/>
        </w:rPr>
      </w:pPr>
      <w:r>
        <w:t>Behaviors that will be considered misconduct include:</w:t>
      </w:r>
    </w:p>
    <w:p w14:paraId="2403342F"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Theft, damage, or unauthorized possession or use of property/systems.</w:t>
      </w:r>
    </w:p>
    <w:p w14:paraId="29F5BE20"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Unauthorized access to computer files.</w:t>
      </w:r>
    </w:p>
    <w:p w14:paraId="538B9D4D"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Use, possession, sale, dissemination or other involvement in illegal drugs or controlled substances.</w:t>
      </w:r>
    </w:p>
    <w:p w14:paraId="2E1E7E59"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Unauthorized use or possession of alcohol.</w:t>
      </w:r>
    </w:p>
    <w:p w14:paraId="62E1DAF8"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Being under the influence of alcohol, drugs, or controlled substances.</w:t>
      </w:r>
    </w:p>
    <w:p w14:paraId="0D9A569B"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Acts of physical violence or acts involving threats, intimidation, harassment, or coercion.</w:t>
      </w:r>
    </w:p>
    <w:p w14:paraId="74F92B1B"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Introduction onto Agilent Technologies property of explosives, firearms, chemicals, or other dangerous weapons or devices, and the like without Agilent Technologies prior written permission.</w:t>
      </w:r>
    </w:p>
    <w:p w14:paraId="15F7B0DC"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Safety violations which present a risk of serious injury or property damage.</w:t>
      </w:r>
    </w:p>
    <w:p w14:paraId="5A4899BF" w14:textId="77777777" w:rsidR="005C16F2" w:rsidRDefault="005C16F2" w:rsidP="005C16F2">
      <w:pPr>
        <w:pStyle w:val="subheading2"/>
        <w:numPr>
          <w:ilvl w:val="0"/>
          <w:numId w:val="8"/>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Creation, viewing, distribution, or storage of sexually explicit materials.</w:t>
      </w:r>
    </w:p>
    <w:p w14:paraId="2E3F2C93" w14:textId="77777777" w:rsidR="005C16F2" w:rsidRDefault="005C16F2" w:rsidP="005C16F2">
      <w:pPr>
        <w:pStyle w:val="subheading1"/>
        <w:numPr>
          <w:ilvl w:val="0"/>
          <w:numId w:val="0"/>
        </w:numPr>
        <w:ind w:left="1440"/>
      </w:pPr>
    </w:p>
    <w:p w14:paraId="489DC45D" w14:textId="77777777" w:rsidR="005C16F2" w:rsidRDefault="005C16F2" w:rsidP="005C16F2">
      <w:pPr>
        <w:pStyle w:val="subheading1"/>
        <w:numPr>
          <w:ilvl w:val="1"/>
          <w:numId w:val="1"/>
        </w:numPr>
      </w:pPr>
      <w:r>
        <w:t>Stopping Work</w:t>
      </w:r>
    </w:p>
    <w:p w14:paraId="67831021" w14:textId="77777777" w:rsidR="005C16F2" w:rsidRDefault="005C16F2" w:rsidP="005C16F2">
      <w:pPr>
        <w:pStyle w:val="subheading1"/>
        <w:numPr>
          <w:ilvl w:val="0"/>
          <w:numId w:val="0"/>
        </w:numPr>
        <w:spacing w:after="120"/>
        <w:ind w:left="1440"/>
      </w:pPr>
      <w:r w:rsidRPr="002316B4">
        <w:rPr>
          <w:rFonts w:ascii="ITCCenturyBookT" w:hAnsi="ITCCenturyBookT"/>
          <w:b w:val="0"/>
          <w:color w:val="000000"/>
          <w:sz w:val="22"/>
        </w:rPr>
        <w:t xml:space="preserve">For an EHS violation Agilent may </w:t>
      </w:r>
      <w:r>
        <w:rPr>
          <w:rFonts w:ascii="ITCCenturyBookT" w:hAnsi="ITCCenturyBookT"/>
          <w:b w:val="0"/>
          <w:color w:val="000000"/>
          <w:sz w:val="22"/>
        </w:rPr>
        <w:t xml:space="preserve">direct the </w:t>
      </w:r>
      <w:r w:rsidRPr="002316B4">
        <w:rPr>
          <w:rFonts w:ascii="ITCCenturyBookT" w:hAnsi="ITCCenturyBookT"/>
          <w:b w:val="0"/>
          <w:color w:val="000000"/>
          <w:sz w:val="22"/>
        </w:rPr>
        <w:t>contractor to immediately stop work and leave the site</w:t>
      </w:r>
      <w:r>
        <w:rPr>
          <w:rFonts w:ascii="ITCCenturyBookT" w:hAnsi="ITCCenturyBookT"/>
          <w:b w:val="0"/>
          <w:color w:val="000000"/>
          <w:sz w:val="22"/>
        </w:rPr>
        <w:t>.</w:t>
      </w:r>
    </w:p>
    <w:p w14:paraId="2A0EB4DB" w14:textId="77777777" w:rsidR="005C16F2" w:rsidRDefault="005C16F2" w:rsidP="005C16F2">
      <w:pPr>
        <w:pStyle w:val="subheading1"/>
        <w:numPr>
          <w:ilvl w:val="0"/>
          <w:numId w:val="0"/>
        </w:numPr>
        <w:ind w:left="1440"/>
      </w:pPr>
    </w:p>
    <w:p w14:paraId="113CFA7F" w14:textId="77777777" w:rsidR="005C16F2" w:rsidRDefault="005C16F2" w:rsidP="005C16F2">
      <w:pPr>
        <w:pStyle w:val="heading2"/>
        <w:numPr>
          <w:ilvl w:val="0"/>
          <w:numId w:val="1"/>
        </w:numPr>
        <w:spacing w:after="120"/>
      </w:pPr>
      <w:r>
        <w:t>HAZARD COMMUNICATION</w:t>
      </w:r>
    </w:p>
    <w:p w14:paraId="6B6291CE" w14:textId="77777777" w:rsidR="005C16F2" w:rsidRDefault="005C16F2" w:rsidP="005C16F2">
      <w:pPr>
        <w:pStyle w:val="bodytext0"/>
        <w:rPr>
          <w:rFonts w:ascii="ITCCenturyBookT" w:hAnsi="ITCCenturyBookT"/>
          <w:caps/>
          <w:sz w:val="22"/>
        </w:rPr>
      </w:pPr>
      <w:r>
        <w:rPr>
          <w:rFonts w:ascii="ITCCenturyBookT" w:hAnsi="ITCCenturyBookT"/>
          <w:sz w:val="22"/>
        </w:rPr>
        <w:lastRenderedPageBreak/>
        <w:t xml:space="preserve">Applicable to </w:t>
      </w:r>
      <w:r w:rsidRPr="005A100E">
        <w:rPr>
          <w:rFonts w:ascii="ITCCenturyBookT" w:hAnsi="ITCCenturyBookT"/>
          <w:b/>
          <w:i/>
          <w:sz w:val="22"/>
        </w:rPr>
        <w:t>High Impact Contractors</w:t>
      </w:r>
      <w:r>
        <w:rPr>
          <w:rFonts w:ascii="ITCCenturyBookT" w:hAnsi="ITCCenturyBookT"/>
          <w:sz w:val="22"/>
        </w:rPr>
        <w:t xml:space="preserve"> (if contractor and/or subcontractors bring chemicals onto an Agilent Site or contract employees are working with or in close proximity to chemicals or chemical delivery systems.)</w:t>
      </w:r>
    </w:p>
    <w:p w14:paraId="3F808A77" w14:textId="77777777" w:rsidR="005C16F2" w:rsidRDefault="005C16F2" w:rsidP="005C16F2">
      <w:pPr>
        <w:pStyle w:val="bodytext0"/>
      </w:pPr>
    </w:p>
    <w:p w14:paraId="414CD005" w14:textId="77777777" w:rsidR="005C16F2" w:rsidRDefault="005C16F2" w:rsidP="005C16F2">
      <w:pPr>
        <w:pStyle w:val="subheading1"/>
        <w:numPr>
          <w:ilvl w:val="1"/>
          <w:numId w:val="1"/>
        </w:numPr>
      </w:pPr>
      <w:r>
        <w:t>Restricted Chemicals</w:t>
      </w:r>
    </w:p>
    <w:p w14:paraId="3AD53306" w14:textId="77777777" w:rsidR="005C16F2" w:rsidRPr="00AC4234" w:rsidRDefault="005C16F2" w:rsidP="005C16F2">
      <w:pPr>
        <w:pStyle w:val="subheading2"/>
        <w:ind w:left="1440" w:firstLine="0"/>
        <w:rPr>
          <w:rFonts w:ascii="ITCCenturyBookT" w:hAnsi="ITCCenturyBookT"/>
          <w:b w:val="0"/>
          <w:color w:val="000000"/>
          <w:sz w:val="22"/>
        </w:rPr>
      </w:pPr>
      <w:r w:rsidRPr="00AC4234">
        <w:rPr>
          <w:rFonts w:ascii="ITCCenturyBookT" w:hAnsi="ITCCenturyBookT"/>
          <w:b w:val="0"/>
          <w:color w:val="000000"/>
          <w:sz w:val="22"/>
        </w:rPr>
        <w:t xml:space="preserve">See Appendix A for a list of chemicals restricted from use at Agilent sites. </w:t>
      </w:r>
    </w:p>
    <w:p w14:paraId="2013338A" w14:textId="77777777" w:rsidR="005C16F2" w:rsidRDefault="005C16F2" w:rsidP="005C16F2">
      <w:pPr>
        <w:pStyle w:val="subheading2"/>
        <w:ind w:left="1440" w:firstLine="0"/>
        <w:rPr>
          <w:color w:val="000000"/>
        </w:rPr>
      </w:pPr>
    </w:p>
    <w:p w14:paraId="1BACFE1E" w14:textId="77777777" w:rsidR="005C16F2" w:rsidRDefault="005C16F2" w:rsidP="005C16F2">
      <w:pPr>
        <w:pStyle w:val="subheading1"/>
        <w:numPr>
          <w:ilvl w:val="1"/>
          <w:numId w:val="1"/>
        </w:numPr>
      </w:pPr>
      <w:r>
        <w:t>Chemical Approval</w:t>
      </w:r>
    </w:p>
    <w:p w14:paraId="569D753A" w14:textId="77777777" w:rsidR="005C16F2" w:rsidRPr="00AC4234"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All hazardous chemicals (solids, liquids and gases, including compressed gases) used on Agilent </w:t>
      </w:r>
      <w:r w:rsidRPr="00AC4234">
        <w:rPr>
          <w:rFonts w:ascii="ITCCenturyBookT" w:hAnsi="ITCCenturyBookT"/>
          <w:b w:val="0"/>
          <w:color w:val="000000"/>
          <w:sz w:val="22"/>
        </w:rPr>
        <w:t>sites must be pre-approved by Agilent EHS Staff.</w:t>
      </w:r>
    </w:p>
    <w:p w14:paraId="71A711FA" w14:textId="77777777" w:rsidR="005C16F2" w:rsidRDefault="005C16F2" w:rsidP="005C16F2">
      <w:pPr>
        <w:pStyle w:val="subheading2"/>
        <w:ind w:left="1440" w:firstLine="0"/>
        <w:rPr>
          <w:b w:val="0"/>
          <w:color w:val="000000"/>
        </w:rPr>
      </w:pPr>
    </w:p>
    <w:p w14:paraId="316990D8" w14:textId="77777777" w:rsidR="005C16F2" w:rsidRDefault="005C16F2" w:rsidP="005C16F2">
      <w:pPr>
        <w:pStyle w:val="subheading1"/>
        <w:numPr>
          <w:ilvl w:val="1"/>
          <w:numId w:val="1"/>
        </w:numPr>
        <w:rPr>
          <w:rFonts w:ascii="ITCCenturyBookT" w:hAnsi="ITCCenturyBookT"/>
          <w:sz w:val="22"/>
        </w:rPr>
      </w:pPr>
      <w:r>
        <w:rPr>
          <w:rFonts w:ascii="ITCCenturyBookT" w:hAnsi="ITCCenturyBookT"/>
          <w:b w:val="0"/>
          <w:color w:val="000000"/>
          <w:sz w:val="22"/>
        </w:rPr>
        <w:t>Contractor and their subcontractors must complete the "Contractor Chemical Use Form" or equivalent (where the required information is listed) in Appendix B with Safety Data Sheets attached for all chemicals to be used on site.  Submit the “Contractor Chemical Use Form” to the Agilent Project Manager/Host for approval prior to start of job.  Agilent Project Manager/Host will pass the “Contractor Chemical Use Form” to Agilent EHS for approval prior to allowing use of the chemical.</w:t>
      </w:r>
      <w:r w:rsidRPr="00404536">
        <w:rPr>
          <w:color w:val="000000"/>
          <w:szCs w:val="24"/>
        </w:rPr>
        <w:t xml:space="preserve"> </w:t>
      </w:r>
      <w:r w:rsidRPr="00404536">
        <w:rPr>
          <w:color w:val="000000"/>
          <w:szCs w:val="24"/>
        </w:rPr>
        <w:br/>
      </w:r>
      <w:r>
        <w:rPr>
          <w:rFonts w:ascii="ITCCenturyBookT" w:hAnsi="ITCCenturyBookT"/>
          <w:b w:val="0"/>
          <w:color w:val="000000"/>
          <w:sz w:val="22"/>
        </w:rPr>
        <w:br/>
      </w:r>
      <w:r>
        <w:rPr>
          <w:rFonts w:ascii="ITCCenturyBookT" w:hAnsi="ITCCenturyBookT"/>
          <w:sz w:val="22"/>
        </w:rPr>
        <w:t xml:space="preserve">Safety Data Sheets (SDS) </w:t>
      </w:r>
    </w:p>
    <w:p w14:paraId="39E66D09"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The Contractor must maintain SDS’s for chemicals that are used by contract or subcontract personnel at the job site and will maintain a current inventory of the chemicals they use at the Agilent site.  SDS’s must be accessible upon request.</w:t>
      </w:r>
    </w:p>
    <w:p w14:paraId="57F1BF72" w14:textId="77777777" w:rsidR="005C16F2" w:rsidRDefault="005C16F2" w:rsidP="005C16F2">
      <w:pPr>
        <w:ind w:left="1440"/>
        <w:rPr>
          <w:sz w:val="24"/>
        </w:rPr>
      </w:pPr>
    </w:p>
    <w:p w14:paraId="704A55B2" w14:textId="77777777" w:rsidR="005C16F2" w:rsidRDefault="005C16F2" w:rsidP="005C16F2">
      <w:pPr>
        <w:pStyle w:val="subheading1"/>
        <w:numPr>
          <w:ilvl w:val="1"/>
          <w:numId w:val="1"/>
        </w:numPr>
      </w:pPr>
      <w:r>
        <w:t>Hazard Communication / Right to Know Information Exchange</w:t>
      </w:r>
    </w:p>
    <w:p w14:paraId="6EC69355"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Information on potential exposure to chemicals must be shared between Agilent and the Contractor.  Agilent Project Management and Agilent EHS Staff will work together to identify and share hazard communication information applicable to contractor activity.  The Contractor must communicate the hazard information to contractor employees and Subcontractors.  Hazard Communication Information to include:</w:t>
      </w:r>
    </w:p>
    <w:p w14:paraId="530F25E1" w14:textId="77777777" w:rsidR="005C16F2" w:rsidRDefault="005C16F2" w:rsidP="005C16F2">
      <w:pPr>
        <w:pStyle w:val="subheading2"/>
        <w:numPr>
          <w:ilvl w:val="0"/>
          <w:numId w:val="7"/>
        </w:numPr>
        <w:tabs>
          <w:tab w:val="clear" w:pos="360"/>
        </w:tabs>
        <w:ind w:left="2160" w:hanging="720"/>
        <w:rPr>
          <w:rFonts w:ascii="ITCCenturyBookT" w:hAnsi="ITCCenturyBookT"/>
          <w:b w:val="0"/>
          <w:color w:val="000000"/>
          <w:sz w:val="22"/>
        </w:rPr>
      </w:pPr>
      <w:r>
        <w:rPr>
          <w:rFonts w:ascii="ITCCenturyBookT" w:hAnsi="ITCCenturyBookT"/>
          <w:b w:val="0"/>
          <w:color w:val="000000"/>
          <w:sz w:val="22"/>
        </w:rPr>
        <w:t xml:space="preserve">SDSs on any chemicals to which workers in the vicinity of the job site may be exposed </w:t>
      </w:r>
    </w:p>
    <w:p w14:paraId="072D0847" w14:textId="77777777" w:rsidR="005C16F2" w:rsidRDefault="005C16F2" w:rsidP="005C16F2">
      <w:pPr>
        <w:pStyle w:val="subheading2"/>
        <w:numPr>
          <w:ilvl w:val="0"/>
          <w:numId w:val="7"/>
        </w:numPr>
        <w:tabs>
          <w:tab w:val="clear" w:pos="360"/>
        </w:tabs>
        <w:ind w:left="2160" w:hanging="720"/>
        <w:rPr>
          <w:rFonts w:ascii="ITCCenturyBookT" w:hAnsi="ITCCenturyBookT"/>
          <w:b w:val="0"/>
          <w:color w:val="000000"/>
          <w:sz w:val="22"/>
        </w:rPr>
      </w:pPr>
      <w:r>
        <w:rPr>
          <w:rFonts w:ascii="ITCCenturyBookT" w:hAnsi="ITCCenturyBookT"/>
          <w:b w:val="0"/>
          <w:color w:val="000000"/>
          <w:sz w:val="22"/>
        </w:rPr>
        <w:t>An explanation of the labeling and/or warning system used to identify chemicals (e.g., container labels, tank labels, pipeline identification system, etc.)</w:t>
      </w:r>
    </w:p>
    <w:p w14:paraId="65A32F9B" w14:textId="77777777" w:rsidR="005C16F2" w:rsidRDefault="005C16F2" w:rsidP="005C16F2">
      <w:pPr>
        <w:pStyle w:val="subheading2"/>
        <w:numPr>
          <w:ilvl w:val="0"/>
          <w:numId w:val="7"/>
        </w:numPr>
        <w:tabs>
          <w:tab w:val="clear" w:pos="360"/>
        </w:tabs>
        <w:ind w:left="2160" w:hanging="720"/>
        <w:rPr>
          <w:rFonts w:ascii="ITCCenturyBookT" w:hAnsi="ITCCenturyBookT"/>
          <w:b w:val="0"/>
          <w:color w:val="000000"/>
          <w:sz w:val="22"/>
        </w:rPr>
      </w:pPr>
      <w:r>
        <w:rPr>
          <w:rFonts w:ascii="ITCCenturyBookT" w:hAnsi="ITCCenturyBookT"/>
          <w:b w:val="0"/>
          <w:color w:val="000000"/>
          <w:sz w:val="22"/>
        </w:rPr>
        <w:t>Information on the chemicals used in specific types of processes at or near the job site (e.g., open tanks, exhaust ducts, storage containers, vessels, etc.)</w:t>
      </w:r>
    </w:p>
    <w:p w14:paraId="406646C5" w14:textId="77777777" w:rsidR="005C16F2" w:rsidRDefault="005C16F2" w:rsidP="005C16F2">
      <w:pPr>
        <w:pStyle w:val="subheading2"/>
        <w:ind w:left="1440" w:firstLine="0"/>
        <w:rPr>
          <w:rFonts w:ascii="ITCCenturyBookT" w:hAnsi="ITCCenturyBookT"/>
          <w:b w:val="0"/>
          <w:color w:val="000000"/>
          <w:sz w:val="22"/>
        </w:rPr>
      </w:pPr>
    </w:p>
    <w:p w14:paraId="2EB5B7E7"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The Contractor must also provide the Agilent Project Manager/Host with information on hazardous work performed by the contractor and subcontractor (e.g., welding, using volatile solvents, operating equipment powered by internal combustion engines, ionizing radiation, laser beams, etc.)</w:t>
      </w:r>
    </w:p>
    <w:p w14:paraId="0C5CE593" w14:textId="77777777" w:rsidR="005C16F2" w:rsidRDefault="005C16F2" w:rsidP="005C16F2">
      <w:pPr>
        <w:pStyle w:val="subheading2"/>
        <w:ind w:left="1440" w:firstLine="0"/>
        <w:rPr>
          <w:b w:val="0"/>
          <w:color w:val="000000"/>
        </w:rPr>
      </w:pPr>
    </w:p>
    <w:p w14:paraId="62DFE4E8" w14:textId="77777777" w:rsidR="005C16F2" w:rsidRDefault="005C16F2" w:rsidP="005C16F2">
      <w:pPr>
        <w:pStyle w:val="subheading1"/>
        <w:numPr>
          <w:ilvl w:val="1"/>
          <w:numId w:val="1"/>
        </w:numPr>
      </w:pPr>
      <w:r>
        <w:t>Container Labeling</w:t>
      </w:r>
    </w:p>
    <w:p w14:paraId="425D9470" w14:textId="77777777" w:rsidR="005C16F2" w:rsidRDefault="005C16F2" w:rsidP="005C16F2">
      <w:pPr>
        <w:pStyle w:val="bodytext20"/>
        <w:spacing w:after="120"/>
        <w:ind w:left="1440" w:firstLine="0"/>
        <w:rPr>
          <w:rFonts w:ascii="ITCCenturyBookT" w:hAnsi="ITCCenturyBookT"/>
          <w:sz w:val="22"/>
        </w:rPr>
      </w:pPr>
      <w:r>
        <w:rPr>
          <w:rFonts w:ascii="ITCCenturyBookT" w:hAnsi="ITCCenturyBookT"/>
          <w:sz w:val="22"/>
        </w:rPr>
        <w:t xml:space="preserve">The Contractor must ensure all containers they use are properly labeled in compliance with applicable legal requirements. </w:t>
      </w:r>
    </w:p>
    <w:p w14:paraId="1B1465B4" w14:textId="77777777" w:rsidR="005C16F2" w:rsidRDefault="005C16F2" w:rsidP="005C16F2">
      <w:pPr>
        <w:tabs>
          <w:tab w:val="left" w:pos="1800"/>
        </w:tabs>
        <w:ind w:left="1800" w:hanging="360"/>
        <w:rPr>
          <w:sz w:val="24"/>
        </w:rPr>
      </w:pPr>
    </w:p>
    <w:p w14:paraId="788E7C22" w14:textId="77777777" w:rsidR="005C16F2" w:rsidRDefault="005C16F2" w:rsidP="005C16F2">
      <w:pPr>
        <w:pStyle w:val="heading2"/>
        <w:numPr>
          <w:ilvl w:val="0"/>
          <w:numId w:val="1"/>
        </w:numPr>
        <w:spacing w:after="120"/>
      </w:pPr>
      <w:r>
        <w:lastRenderedPageBreak/>
        <w:t>Environmental Requirements</w:t>
      </w:r>
    </w:p>
    <w:p w14:paraId="0D3D2B13" w14:textId="77777777" w:rsidR="005C16F2" w:rsidRDefault="005C16F2" w:rsidP="005C16F2">
      <w:pPr>
        <w:pStyle w:val="bodytext0"/>
        <w:rPr>
          <w:rFonts w:ascii="ITCCenturyBookT" w:hAnsi="ITCCenturyBookT"/>
          <w:caps/>
          <w:sz w:val="22"/>
        </w:rPr>
      </w:pPr>
      <w:r>
        <w:rPr>
          <w:rFonts w:ascii="ITCCenturyBookT" w:hAnsi="ITCCenturyBookT"/>
          <w:sz w:val="22"/>
        </w:rPr>
        <w:t xml:space="preserve">Applicable to </w:t>
      </w:r>
      <w:r>
        <w:rPr>
          <w:rFonts w:ascii="ITCCenturyBookT" w:hAnsi="ITCCenturyBookT"/>
          <w:b/>
          <w:i/>
          <w:sz w:val="22"/>
        </w:rPr>
        <w:t>High Impact Contractors</w:t>
      </w:r>
      <w:r>
        <w:rPr>
          <w:rFonts w:ascii="ITCCenturyBookT" w:hAnsi="ITCCenturyBookT"/>
          <w:sz w:val="22"/>
        </w:rPr>
        <w:t xml:space="preserve"> and any contractor activity that creates hazardous waste products that cannot be disposed of in regular trash or sanitary sewer.</w:t>
      </w:r>
    </w:p>
    <w:p w14:paraId="7EAA4201" w14:textId="77777777" w:rsidR="005C16F2" w:rsidRDefault="005C16F2" w:rsidP="005C16F2">
      <w:pPr>
        <w:pStyle w:val="bodytext0"/>
        <w:outlineLvl w:val="0"/>
        <w:rPr>
          <w:rFonts w:ascii="ITCCenturyBookT" w:hAnsi="ITCCenturyBookT"/>
          <w:sz w:val="22"/>
        </w:rPr>
      </w:pPr>
    </w:p>
    <w:p w14:paraId="64B312DA" w14:textId="77777777" w:rsidR="005C16F2" w:rsidRDefault="005C16F2" w:rsidP="005C16F2">
      <w:pPr>
        <w:pStyle w:val="bodytext0"/>
        <w:rPr>
          <w:rFonts w:ascii="ITCCenturyBookT" w:hAnsi="ITCCenturyBookT"/>
          <w:sz w:val="22"/>
        </w:rPr>
      </w:pPr>
      <w:r>
        <w:rPr>
          <w:rFonts w:ascii="ITCCenturyBookT" w:hAnsi="ITCCenturyBookT"/>
          <w:sz w:val="22"/>
        </w:rPr>
        <w:t xml:space="preserve">Contractors are expected to understand and comply with all </w:t>
      </w:r>
      <w:r>
        <w:rPr>
          <w:rFonts w:ascii="ITCCenturyBookT" w:hAnsi="ITCCenturyBookT"/>
          <w:color w:val="000000"/>
          <w:sz w:val="22"/>
        </w:rPr>
        <w:t>laws and regulations of any governmental entity or sovereign authority that pertains to environmental, health and safety standards</w:t>
      </w:r>
      <w:r>
        <w:rPr>
          <w:rFonts w:ascii="ITCCenturyBookT" w:hAnsi="ITCCenturyBookT"/>
          <w:b/>
          <w:color w:val="000000"/>
          <w:sz w:val="22"/>
        </w:rPr>
        <w:t xml:space="preserve"> </w:t>
      </w:r>
      <w:r>
        <w:rPr>
          <w:rFonts w:ascii="ITCCenturyBookT" w:hAnsi="ITCCenturyBookT"/>
          <w:sz w:val="22"/>
        </w:rPr>
        <w:t>and work practices applicable to the activities they perform.  Additional requirements specific to Agilent are listed in sections 8.1– 8.6.</w:t>
      </w:r>
    </w:p>
    <w:p w14:paraId="44E72404" w14:textId="77777777" w:rsidR="005C16F2" w:rsidRDefault="005C16F2" w:rsidP="005C16F2">
      <w:pPr>
        <w:pStyle w:val="bodytext0"/>
      </w:pPr>
    </w:p>
    <w:p w14:paraId="725D79BA" w14:textId="77777777" w:rsidR="005C16F2" w:rsidRDefault="005C16F2" w:rsidP="005C16F2">
      <w:pPr>
        <w:pStyle w:val="subheading1"/>
        <w:numPr>
          <w:ilvl w:val="1"/>
          <w:numId w:val="1"/>
        </w:numPr>
      </w:pPr>
      <w:r>
        <w:t>Hazardous Containing Building Materials</w:t>
      </w:r>
      <w:r>
        <w:rPr>
          <w:vertAlign w:val="superscript"/>
        </w:rPr>
        <w:t>1</w:t>
      </w:r>
    </w:p>
    <w:p w14:paraId="0713D154" w14:textId="77777777" w:rsidR="005C16F2" w:rsidRDefault="005C16F2" w:rsidP="005C16F2">
      <w:pPr>
        <w:pStyle w:val="bodytext20"/>
        <w:ind w:left="1440" w:firstLine="0"/>
        <w:rPr>
          <w:rFonts w:ascii="ITCCenturyBookT" w:hAnsi="ITCCenturyBookT"/>
          <w:sz w:val="22"/>
        </w:rPr>
      </w:pPr>
      <w:r>
        <w:rPr>
          <w:rFonts w:ascii="ITCCenturyBookT" w:hAnsi="ITCCenturyBookT"/>
          <w:sz w:val="22"/>
        </w:rPr>
        <w:t>Some Agilent facilities may have hazardous containing building materials (HCBM) (e.g. asbestos, lead based paints, polychlorinated biphenyls (PCBs),</w:t>
      </w:r>
      <w:r>
        <w:t xml:space="preserve"> </w:t>
      </w:r>
      <w:r>
        <w:rPr>
          <w:rFonts w:ascii="ITCCenturyBookT" w:hAnsi="ITCCenturyBookT"/>
          <w:sz w:val="22"/>
        </w:rPr>
        <w:t xml:space="preserve">Refractory Ceramic Fibers (RCFs)), and Agilent recognizes its duty to inform contractors of any known presence of HCBM (sites may be required by regulation to maintain an asbestos register, see appendix C for site specific information).  The Contractor must inform all Contractor and Sub-Contractor personnel of the presence of HCBM in the areas identified.  Contractor and Sub-Contractor personnel shall avoid disturbing HCBM materials on ceiling, pipes, boilers or other areas. </w:t>
      </w:r>
    </w:p>
    <w:p w14:paraId="1E5247A1" w14:textId="77777777" w:rsidR="005C16F2" w:rsidRDefault="005C16F2" w:rsidP="005C16F2">
      <w:pPr>
        <w:pStyle w:val="bodytext20"/>
        <w:ind w:left="1440" w:firstLine="0"/>
        <w:rPr>
          <w:rFonts w:ascii="ITCCenturyBookT" w:hAnsi="ITCCenturyBookT"/>
          <w:sz w:val="22"/>
        </w:rPr>
      </w:pPr>
    </w:p>
    <w:p w14:paraId="5592A33C"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Contractors who plan to disturb HCBM must inform the Agilent Project Manager/Host well in advance to ensure proper notification is met and businesses have enough time to plan for potential interruptions.  Only persons licensed and trained in HCBM operations and maintenance or removal activities shall perform any work that may disturb or remove hazardous containing building materials.</w:t>
      </w:r>
      <w:r>
        <w:rPr>
          <w:rFonts w:ascii="ITCCenturyBookT" w:hAnsi="ITCCenturyBookT"/>
          <w:color w:val="000000"/>
          <w:sz w:val="22"/>
        </w:rPr>
        <w:br/>
      </w:r>
      <w:r>
        <w:rPr>
          <w:rFonts w:ascii="ITCCenturyBookT" w:hAnsi="ITCCenturyBookT"/>
          <w:color w:val="000000"/>
          <w:sz w:val="22"/>
        </w:rPr>
        <w:br/>
      </w:r>
      <w:r>
        <w:rPr>
          <w:rFonts w:ascii="ITCCenturyBookT" w:hAnsi="ITCCenturyBookT"/>
          <w:sz w:val="22"/>
        </w:rPr>
        <w:t xml:space="preserve">If material is found suspected of containing HCBM that has not been identified on the site-specific information, a certified asbestos inspector or qualified HCBM technician for material other than asbestos must investigate this material before the suspect material is disturbed. </w:t>
      </w:r>
      <w:r>
        <w:rPr>
          <w:rFonts w:ascii="ITCCenturyBookT" w:hAnsi="ITCCenturyBookT"/>
          <w:color w:val="000000"/>
          <w:sz w:val="22"/>
        </w:rPr>
        <w:t xml:space="preserve">  </w:t>
      </w:r>
    </w:p>
    <w:p w14:paraId="758D1407" w14:textId="77777777" w:rsidR="005C16F2" w:rsidRDefault="005C16F2" w:rsidP="005C16F2">
      <w:pPr>
        <w:pStyle w:val="bodytext20"/>
        <w:ind w:left="1440" w:firstLine="0"/>
        <w:rPr>
          <w:rFonts w:ascii="ITCCenturyBookT" w:hAnsi="ITCCenturyBookT"/>
          <w:sz w:val="22"/>
        </w:rPr>
      </w:pPr>
    </w:p>
    <w:p w14:paraId="40464B93" w14:textId="77777777" w:rsidR="005C16F2" w:rsidRDefault="005C16F2" w:rsidP="005C16F2">
      <w:pPr>
        <w:pStyle w:val="bodytext20"/>
        <w:ind w:left="1440" w:firstLine="0"/>
        <w:rPr>
          <w:rFonts w:ascii="ITCCenturyBookT" w:hAnsi="ITCCenturyBookT"/>
          <w:sz w:val="22"/>
        </w:rPr>
      </w:pPr>
      <w:r>
        <w:rPr>
          <w:rFonts w:ascii="ITCCenturyBookT" w:hAnsi="ITCCenturyBookT"/>
          <w:sz w:val="22"/>
        </w:rPr>
        <w:t>Removal of asbestos-containing floor tile must follow Agilent Operations and Maintenance Procedures for working on asbestos-containing floor coverings.</w:t>
      </w:r>
    </w:p>
    <w:p w14:paraId="63CE29FB" w14:textId="77777777" w:rsidR="005C16F2" w:rsidRDefault="005C16F2" w:rsidP="005C16F2">
      <w:pPr>
        <w:pStyle w:val="bodytext20"/>
        <w:ind w:left="1440" w:firstLine="0"/>
        <w:rPr>
          <w:rFonts w:ascii="ITCCenturyBookT" w:hAnsi="ITCCenturyBookT"/>
          <w:sz w:val="22"/>
        </w:rPr>
      </w:pPr>
    </w:p>
    <w:p w14:paraId="772D6B61" w14:textId="77777777" w:rsidR="005C16F2" w:rsidRDefault="005C16F2" w:rsidP="005C16F2">
      <w:pPr>
        <w:pStyle w:val="bodytext20"/>
        <w:ind w:left="1440" w:firstLine="0"/>
        <w:rPr>
          <w:rFonts w:ascii="ITCCenturyBookT" w:hAnsi="ITCCenturyBookT"/>
          <w:sz w:val="22"/>
        </w:rPr>
      </w:pPr>
      <w:r>
        <w:rPr>
          <w:rFonts w:ascii="ITCCenturyBookT" w:hAnsi="ITCCenturyBookT"/>
          <w:sz w:val="22"/>
        </w:rPr>
        <w:t>Damaged asbestos material or debris shall not be disturbed.  If contractor personnel find asbestos-containing materials that have been damaged, they must report it to their supervisor and the Agilent Project Manager/Host.</w:t>
      </w:r>
    </w:p>
    <w:p w14:paraId="247D6957" w14:textId="77777777" w:rsidR="005C16F2" w:rsidRDefault="005C16F2" w:rsidP="005C16F2">
      <w:pPr>
        <w:pStyle w:val="bodytext20"/>
        <w:ind w:left="1440" w:firstLine="0"/>
        <w:rPr>
          <w:rFonts w:ascii="ITCCenturyBookT" w:hAnsi="ITCCenturyBookT"/>
          <w:sz w:val="22"/>
        </w:rPr>
      </w:pPr>
    </w:p>
    <w:p w14:paraId="7A3F073E" w14:textId="77777777" w:rsidR="005C16F2" w:rsidRDefault="005C16F2" w:rsidP="005C16F2">
      <w:pPr>
        <w:pStyle w:val="bodytext20"/>
        <w:ind w:left="1440" w:firstLine="0"/>
        <w:rPr>
          <w:rFonts w:ascii="ITCCenturyBookT" w:hAnsi="ITCCenturyBookT"/>
          <w:b/>
          <w:color w:val="000000"/>
          <w:sz w:val="22"/>
        </w:rPr>
      </w:pPr>
      <w:r>
        <w:rPr>
          <w:rFonts w:ascii="ITCCenturyBookT" w:hAnsi="ITCCenturyBookT"/>
          <w:sz w:val="22"/>
        </w:rPr>
        <w:t>HCBM materials shall not be used in renovation or new construction on any Agilent site.</w:t>
      </w:r>
    </w:p>
    <w:p w14:paraId="5F05D127" w14:textId="77777777" w:rsidR="005C16F2" w:rsidRDefault="005C16F2" w:rsidP="005C16F2">
      <w:pPr>
        <w:rPr>
          <w:sz w:val="24"/>
        </w:rPr>
      </w:pPr>
    </w:p>
    <w:p w14:paraId="7D35BA21" w14:textId="77777777" w:rsidR="005C16F2" w:rsidRDefault="005C16F2" w:rsidP="005C16F2">
      <w:pPr>
        <w:pStyle w:val="subheading1"/>
        <w:numPr>
          <w:ilvl w:val="1"/>
          <w:numId w:val="1"/>
        </w:numPr>
        <w:rPr>
          <w:snapToGrid w:val="0"/>
          <w:color w:val="000000"/>
        </w:rPr>
      </w:pPr>
      <w:r>
        <w:t>Indoor Air Quality</w:t>
      </w:r>
    </w:p>
    <w:p w14:paraId="11327296" w14:textId="77777777" w:rsidR="005C16F2" w:rsidRDefault="005C16F2" w:rsidP="005C16F2">
      <w:pPr>
        <w:pStyle w:val="bodytext20"/>
        <w:ind w:left="1440" w:firstLine="0"/>
        <w:rPr>
          <w:rFonts w:ascii="ITCCenturyBookT" w:hAnsi="ITCCenturyBookT"/>
          <w:sz w:val="22"/>
        </w:rPr>
      </w:pPr>
      <w:r>
        <w:rPr>
          <w:rFonts w:ascii="ITCCenturyBookT" w:hAnsi="ITCCenturyBookT"/>
          <w:sz w:val="22"/>
        </w:rPr>
        <w:t>Before beginning activities that will generate odors in or near occupied areas or building air intakes (e.g., using paints, adhesives, combustion engines or other odor-producing chemicals or processes), Agilent Project Management/Host must be contacted to pre-plan appropriate controls and an employee communication plan as appropriate.  Ventilation or other process controls must be provided to prevent the buildup of vapors or gases that could result in health hazards, fire hazards, or nuisance odors.  If odors cannot be adequately controlled, activities must be completed when area is unoccupied.</w:t>
      </w:r>
    </w:p>
    <w:p w14:paraId="57629BDD" w14:textId="77777777" w:rsidR="005C16F2" w:rsidRDefault="005C16F2" w:rsidP="005C16F2">
      <w:pPr>
        <w:pStyle w:val="subheading2"/>
        <w:ind w:left="1440" w:firstLine="0"/>
        <w:rPr>
          <w:rFonts w:ascii="ITCCenturyBookT" w:hAnsi="ITCCenturyBookT"/>
          <w:b w:val="0"/>
          <w:color w:val="000000"/>
          <w:sz w:val="22"/>
        </w:rPr>
      </w:pPr>
    </w:p>
    <w:p w14:paraId="7D02500A" w14:textId="77777777" w:rsidR="005C16F2" w:rsidRDefault="005C16F2" w:rsidP="005C16F2">
      <w:pPr>
        <w:pStyle w:val="bodytext20"/>
        <w:ind w:left="1440" w:firstLine="0"/>
        <w:rPr>
          <w:rFonts w:ascii="ITCCenturyBookT" w:hAnsi="ITCCenturyBookT"/>
          <w:b/>
          <w:color w:val="000000"/>
          <w:sz w:val="22"/>
        </w:rPr>
      </w:pPr>
      <w:r>
        <w:rPr>
          <w:rFonts w:ascii="ITCCenturyBookT" w:hAnsi="ITCCenturyBookT"/>
          <w:sz w:val="22"/>
        </w:rPr>
        <w:t>Indoor use of internal combustion engine driven equipment is not normally permitted indoors but if so must have scrubbers installed and/or be evaluated for carbon monoxide buildup and odor generation prior to use.  Air monitoring and portable blowers are required to control carbon monoxide buildup.</w:t>
      </w:r>
    </w:p>
    <w:p w14:paraId="5CC578E8" w14:textId="77777777" w:rsidR="005C16F2" w:rsidRDefault="005C16F2" w:rsidP="005C16F2">
      <w:pPr>
        <w:pStyle w:val="subheading2"/>
        <w:ind w:left="1440" w:firstLine="0"/>
        <w:rPr>
          <w:b w:val="0"/>
          <w:color w:val="000000"/>
        </w:rPr>
      </w:pPr>
    </w:p>
    <w:p w14:paraId="1EBC3E11" w14:textId="77777777" w:rsidR="005C16F2" w:rsidRDefault="005C16F2" w:rsidP="005C16F2">
      <w:pPr>
        <w:pStyle w:val="subheading1"/>
        <w:numPr>
          <w:ilvl w:val="1"/>
          <w:numId w:val="1"/>
        </w:numPr>
        <w:rPr>
          <w:snapToGrid w:val="0"/>
          <w:color w:val="000000"/>
        </w:rPr>
      </w:pPr>
      <w:r>
        <w:t>Storm Drain Protection</w:t>
      </w:r>
    </w:p>
    <w:p w14:paraId="36A5C73A"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The discharge of anything to the storm drain other than rainwater is prohibited.  Outdoor activities must be reviewed to include plans to prevent accidental release to the storm drain and contain any unplanned release (e.g., power washing operations must implement damming and suctioning of residual).  Note: many roof drains eventually drain to storm drains.</w:t>
      </w:r>
    </w:p>
    <w:p w14:paraId="10D8C6A1" w14:textId="77777777" w:rsidR="005C16F2" w:rsidRDefault="005C16F2" w:rsidP="005C16F2">
      <w:pPr>
        <w:pStyle w:val="subheading2"/>
        <w:ind w:left="1440" w:firstLine="0"/>
        <w:rPr>
          <w:snapToGrid w:val="0"/>
          <w:color w:val="000000"/>
        </w:rPr>
      </w:pPr>
    </w:p>
    <w:p w14:paraId="6748B7B2" w14:textId="77777777" w:rsidR="005C16F2" w:rsidRDefault="005C16F2" w:rsidP="005C16F2">
      <w:pPr>
        <w:pStyle w:val="subheading1"/>
        <w:numPr>
          <w:ilvl w:val="1"/>
          <w:numId w:val="1"/>
        </w:numPr>
        <w:rPr>
          <w:rFonts w:ascii="ITCCenturyBookT" w:hAnsi="ITCCenturyBookT"/>
          <w:snapToGrid w:val="0"/>
          <w:color w:val="000000"/>
          <w:sz w:val="22"/>
        </w:rPr>
      </w:pPr>
      <w:r>
        <w:t>Waste Management and Disposal</w:t>
      </w:r>
      <w:r>
        <w:br/>
      </w:r>
    </w:p>
    <w:p w14:paraId="6BBC241E" w14:textId="77777777" w:rsidR="005C16F2" w:rsidRDefault="005C16F2" w:rsidP="005C16F2">
      <w:pPr>
        <w:pStyle w:val="bodytext20"/>
        <w:ind w:left="1440" w:firstLine="0"/>
        <w:rPr>
          <w:rFonts w:ascii="ITCCenturyBookT" w:hAnsi="ITCCenturyBookT"/>
          <w:b/>
          <w:color w:val="000000"/>
          <w:sz w:val="22"/>
        </w:rPr>
      </w:pPr>
      <w:r>
        <w:rPr>
          <w:rFonts w:ascii="Univers Condensed" w:hAnsi="Univers Condensed"/>
          <w:b/>
          <w:color w:val="000000"/>
        </w:rPr>
        <w:t>Wastewater Disposal</w:t>
      </w:r>
      <w:r>
        <w:rPr>
          <w:rFonts w:ascii="ITCCenturyBookT" w:hAnsi="ITCCenturyBookT"/>
          <w:color w:val="000000"/>
          <w:sz w:val="22"/>
        </w:rPr>
        <w:t xml:space="preserve"> – The discharge of any material must be to the proper drain.  Agilent facilities contain drains for sanitary sewage, industrial wastewater treatment, and may have facilities for flammable solvent collection or other liquid wastes.  Activities generating waste liquids must be pre-planned with Agilent Project Management/Host and Agilent EHS to verify the appropriate drain or collection method for waste discharge.</w:t>
      </w:r>
    </w:p>
    <w:p w14:paraId="2BC287CA" w14:textId="77777777" w:rsidR="005C16F2" w:rsidRDefault="005C16F2" w:rsidP="005C16F2">
      <w:pPr>
        <w:ind w:left="1440"/>
        <w:rPr>
          <w:rFonts w:ascii="ITCCenturyBookT" w:hAnsi="ITCCenturyBookT"/>
          <w:snapToGrid w:val="0"/>
          <w:color w:val="000000"/>
          <w:sz w:val="22"/>
        </w:rPr>
      </w:pPr>
    </w:p>
    <w:p w14:paraId="60E011A5" w14:textId="77777777" w:rsidR="005C16F2" w:rsidRDefault="005C16F2" w:rsidP="005C16F2">
      <w:pPr>
        <w:pStyle w:val="bodytext20"/>
        <w:ind w:left="1440" w:firstLine="0"/>
        <w:rPr>
          <w:rFonts w:ascii="ITCCenturyBookT" w:hAnsi="ITCCenturyBookT"/>
          <w:color w:val="000000"/>
          <w:sz w:val="22"/>
        </w:rPr>
      </w:pPr>
      <w:r>
        <w:rPr>
          <w:rFonts w:ascii="Univers Condensed" w:hAnsi="Univers Condensed"/>
          <w:b/>
          <w:color w:val="000000"/>
        </w:rPr>
        <w:t>Hazardous Waste</w:t>
      </w:r>
      <w:r>
        <w:rPr>
          <w:rFonts w:ascii="ITCCenturyBookT" w:hAnsi="ITCCenturyBookT"/>
          <w:b/>
          <w:color w:val="000000"/>
          <w:sz w:val="22"/>
        </w:rPr>
        <w:t xml:space="preserve"> </w:t>
      </w:r>
      <w:r>
        <w:rPr>
          <w:rFonts w:ascii="ITCCenturyBookT" w:hAnsi="ITCCenturyBookT"/>
          <w:color w:val="000000"/>
          <w:sz w:val="22"/>
        </w:rPr>
        <w:t>–</w:t>
      </w:r>
      <w:r>
        <w:rPr>
          <w:rFonts w:ascii="ITCCenturyBookT" w:hAnsi="ITCCenturyBookT"/>
          <w:b/>
          <w:color w:val="000000"/>
          <w:sz w:val="22"/>
        </w:rPr>
        <w:t xml:space="preserve"> </w:t>
      </w:r>
      <w:r>
        <w:rPr>
          <w:rFonts w:ascii="ITCCenturyBookT" w:hAnsi="ITCCenturyBookT"/>
          <w:color w:val="000000"/>
          <w:sz w:val="22"/>
        </w:rPr>
        <w:t>The Contractor is responsible for all contractor and subcontractor purchased chemicals and any hazardous waste generated by the contractor and subcontractor using their purchased materials in the ordinary course of their work, e.g., left over paint, etc.  The Contractor is responsible for the prompt removal from Agilent sites of any such hazardous waste generated and for following all applicable laws for disposal.  Agilent WPS/EHS is responsible for managing the off-site transfer and disposal of the hazardous waste that is hazardous due to Agilent business processes, e.g. removal of contaminated duct work or equipment, etc.  It may be necessary to make job or task specific determinations as to who “owns” specific hazardous waste, the Contractor or Agilent.</w:t>
      </w:r>
    </w:p>
    <w:p w14:paraId="0F11C8CD" w14:textId="77777777" w:rsidR="005C16F2" w:rsidRDefault="005C16F2" w:rsidP="005C16F2">
      <w:pPr>
        <w:ind w:left="1440"/>
        <w:rPr>
          <w:rFonts w:ascii="ITCCenturyBookT" w:hAnsi="ITCCenturyBookT"/>
          <w:snapToGrid w:val="0"/>
          <w:color w:val="000000"/>
          <w:sz w:val="22"/>
        </w:rPr>
      </w:pPr>
    </w:p>
    <w:p w14:paraId="38511C7E" w14:textId="77777777" w:rsidR="005C16F2" w:rsidRDefault="005C16F2" w:rsidP="005C16F2">
      <w:pPr>
        <w:pStyle w:val="bodytext20"/>
        <w:ind w:left="1440" w:firstLine="0"/>
        <w:rPr>
          <w:rFonts w:ascii="ITCCenturyBookT" w:hAnsi="ITCCenturyBookT"/>
          <w:color w:val="000000"/>
          <w:sz w:val="22"/>
        </w:rPr>
      </w:pPr>
      <w:r>
        <w:rPr>
          <w:rFonts w:ascii="Univers Condensed" w:hAnsi="Univers Condensed"/>
          <w:b/>
          <w:color w:val="000000"/>
        </w:rPr>
        <w:t>Solid Waste Storage, Disposal, and Recycling</w:t>
      </w:r>
      <w:r>
        <w:rPr>
          <w:rFonts w:ascii="ITCCenturyBookT" w:hAnsi="ITCCenturyBookT"/>
          <w:b/>
          <w:color w:val="000000"/>
          <w:sz w:val="22"/>
        </w:rPr>
        <w:t xml:space="preserve"> </w:t>
      </w:r>
      <w:r>
        <w:rPr>
          <w:rFonts w:ascii="ITCCenturyBookT" w:hAnsi="ITCCenturyBookT"/>
          <w:color w:val="000000"/>
          <w:sz w:val="22"/>
        </w:rPr>
        <w:t>–</w:t>
      </w:r>
      <w:r>
        <w:rPr>
          <w:rFonts w:ascii="ITCCenturyBookT" w:hAnsi="ITCCenturyBookT"/>
          <w:b/>
          <w:color w:val="000000"/>
          <w:sz w:val="22"/>
        </w:rPr>
        <w:t xml:space="preserve"> </w:t>
      </w:r>
      <w:r>
        <w:rPr>
          <w:rFonts w:ascii="ITCCenturyBookT" w:hAnsi="ITCCenturyBookT"/>
          <w:color w:val="000000"/>
          <w:sz w:val="22"/>
        </w:rPr>
        <w:t>The Contractor and Subcontractor personnel are required to sort, separate, and recycle recyclable materials while performing work on the Agilent site.  The Contractor and the Subcontractor personnel will adhere to the following:</w:t>
      </w:r>
    </w:p>
    <w:p w14:paraId="1ABED435" w14:textId="77777777" w:rsidR="005C16F2" w:rsidRDefault="005C16F2" w:rsidP="005C16F2">
      <w:pPr>
        <w:pStyle w:val="subheading2"/>
        <w:numPr>
          <w:ilvl w:val="0"/>
          <w:numId w:val="9"/>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 xml:space="preserve">No hazardous wastes will be placed into any trash receptacle or compactor on Agilent sites.  </w:t>
      </w:r>
    </w:p>
    <w:p w14:paraId="25DFC534" w14:textId="77777777" w:rsidR="005C16F2" w:rsidRDefault="005C16F2" w:rsidP="005C16F2">
      <w:pPr>
        <w:pStyle w:val="subheading2"/>
        <w:numPr>
          <w:ilvl w:val="0"/>
          <w:numId w:val="9"/>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 xml:space="preserve">All chemical containers must be empty before placing them in any trash receptacle.  Empty is defined as having no liquids, pastes, or large amounts of residue remaining in the container.  If not empty, chemical container may be required to be disposed of as hazardous waste. </w:t>
      </w:r>
    </w:p>
    <w:p w14:paraId="149D2E77" w14:textId="77777777" w:rsidR="005C16F2" w:rsidRDefault="005C16F2" w:rsidP="005C16F2">
      <w:pPr>
        <w:pStyle w:val="subheading2"/>
        <w:numPr>
          <w:ilvl w:val="0"/>
          <w:numId w:val="9"/>
        </w:numPr>
        <w:tabs>
          <w:tab w:val="clear" w:pos="360"/>
          <w:tab w:val="num" w:pos="1800"/>
        </w:tabs>
        <w:ind w:left="1800"/>
        <w:rPr>
          <w:rFonts w:ascii="ITCCenturyBookT" w:hAnsi="ITCCenturyBookT"/>
          <w:b w:val="0"/>
          <w:color w:val="000000"/>
          <w:sz w:val="22"/>
        </w:rPr>
      </w:pPr>
      <w:r>
        <w:rPr>
          <w:rFonts w:ascii="ITCCenturyBookT" w:hAnsi="ITCCenturyBookT"/>
          <w:b w:val="0"/>
          <w:color w:val="000000"/>
          <w:sz w:val="22"/>
        </w:rPr>
        <w:t xml:space="preserve">The Contractor must remove chemical containers brought on site by the Contractor. </w:t>
      </w:r>
    </w:p>
    <w:p w14:paraId="6D0C4526" w14:textId="77777777" w:rsidR="005C16F2" w:rsidRDefault="005C16F2" w:rsidP="005C16F2">
      <w:pPr>
        <w:pStyle w:val="subheading2"/>
        <w:ind w:left="1440" w:firstLine="0"/>
        <w:rPr>
          <w:b w:val="0"/>
          <w:color w:val="000000"/>
        </w:rPr>
      </w:pPr>
    </w:p>
    <w:p w14:paraId="0AC5AC4F" w14:textId="77777777" w:rsidR="005C16F2" w:rsidRDefault="005C16F2" w:rsidP="005C16F2">
      <w:pPr>
        <w:pStyle w:val="subheading1"/>
        <w:numPr>
          <w:ilvl w:val="1"/>
          <w:numId w:val="1"/>
        </w:numPr>
        <w:rPr>
          <w:color w:val="000000"/>
        </w:rPr>
      </w:pPr>
      <w:r>
        <w:t>Decontamination</w:t>
      </w:r>
      <w:r>
        <w:rPr>
          <w:rStyle w:val="FootnoteReference"/>
        </w:rPr>
        <w:footnoteReference w:customMarkFollows="1" w:id="4"/>
        <w:t>1</w:t>
      </w:r>
    </w:p>
    <w:p w14:paraId="5C6FFC95" w14:textId="77777777" w:rsidR="005C16F2" w:rsidRDefault="005C16F2" w:rsidP="005C16F2">
      <w:pPr>
        <w:pStyle w:val="bodytext20"/>
        <w:ind w:left="1440" w:firstLine="0"/>
        <w:rPr>
          <w:rFonts w:ascii="ITCCenturyBookT" w:hAnsi="ITCCenturyBookT"/>
          <w:b/>
          <w:color w:val="000000"/>
          <w:sz w:val="22"/>
        </w:rPr>
      </w:pPr>
      <w:r>
        <w:rPr>
          <w:rFonts w:ascii="ITCCenturyBookT" w:hAnsi="ITCCenturyBookT"/>
          <w:color w:val="000000"/>
          <w:sz w:val="22"/>
        </w:rPr>
        <w:lastRenderedPageBreak/>
        <w:t xml:space="preserve">Some Agilent facilities contain process piping, process ductwork, and process tools that carry or contain hazardous materials. Decontamination and sample verification must be completed before the pipes, ductwork, and/or process tools are removed from the site, unless arrangements have been made for suitable offsite treatment or disposal.  </w:t>
      </w:r>
    </w:p>
    <w:p w14:paraId="4F39CE93" w14:textId="77777777" w:rsidR="005C16F2" w:rsidRDefault="005C16F2" w:rsidP="005C16F2">
      <w:pPr>
        <w:pStyle w:val="subheading2"/>
        <w:ind w:left="1440" w:firstLine="0"/>
        <w:rPr>
          <w:b w:val="0"/>
          <w:color w:val="000000"/>
        </w:rPr>
      </w:pPr>
    </w:p>
    <w:p w14:paraId="77B6AD33" w14:textId="77777777" w:rsidR="005C16F2" w:rsidRDefault="005C16F2" w:rsidP="005C16F2">
      <w:pPr>
        <w:pStyle w:val="subheading1"/>
        <w:numPr>
          <w:ilvl w:val="1"/>
          <w:numId w:val="1"/>
        </w:numPr>
        <w:rPr>
          <w:color w:val="000000"/>
        </w:rPr>
      </w:pPr>
      <w:r>
        <w:t>Chemical Release</w:t>
      </w:r>
    </w:p>
    <w:p w14:paraId="361F6887" w14:textId="77777777" w:rsidR="005C16F2" w:rsidRDefault="005C16F2" w:rsidP="005C16F2">
      <w:pPr>
        <w:pStyle w:val="subheading2"/>
        <w:spacing w:after="120"/>
        <w:ind w:left="1440" w:firstLine="0"/>
        <w:rPr>
          <w:rFonts w:ascii="ITCCenturyBookT" w:hAnsi="ITCCenturyBookT"/>
          <w:b w:val="0"/>
          <w:color w:val="000000"/>
          <w:sz w:val="22"/>
        </w:rPr>
      </w:pPr>
      <w:r>
        <w:rPr>
          <w:rFonts w:ascii="ITCCenturyBookT" w:hAnsi="ITCCenturyBookT"/>
          <w:b w:val="0"/>
          <w:color w:val="000000"/>
          <w:sz w:val="22"/>
        </w:rPr>
        <w:t>Agilent Project Management/Host and Agilent EHS must be notified immediately regarding any chemical release to air, ground, water, or storm drain.</w:t>
      </w:r>
    </w:p>
    <w:p w14:paraId="6DF9C534" w14:textId="77777777" w:rsidR="005C16F2" w:rsidRDefault="005C16F2" w:rsidP="005C16F2">
      <w:pPr>
        <w:pStyle w:val="subheading2"/>
        <w:ind w:left="1440" w:firstLine="0"/>
        <w:rPr>
          <w:b w:val="0"/>
          <w:color w:val="000000"/>
        </w:rPr>
      </w:pPr>
    </w:p>
    <w:p w14:paraId="220F44A4" w14:textId="77777777" w:rsidR="005C16F2" w:rsidRPr="001D53B2" w:rsidRDefault="005C16F2" w:rsidP="005C16F2">
      <w:pPr>
        <w:pStyle w:val="heading2"/>
        <w:numPr>
          <w:ilvl w:val="0"/>
          <w:numId w:val="1"/>
        </w:numPr>
        <w:spacing w:after="120"/>
        <w:rPr>
          <w:caps/>
        </w:rPr>
      </w:pPr>
      <w:r w:rsidRPr="001D53B2">
        <w:rPr>
          <w:caps/>
        </w:rPr>
        <w:t>Safety Requirements</w:t>
      </w:r>
    </w:p>
    <w:p w14:paraId="3EC91EDF" w14:textId="77777777" w:rsidR="005C16F2" w:rsidRDefault="005C16F2" w:rsidP="005C16F2">
      <w:pPr>
        <w:pStyle w:val="bodytext0"/>
        <w:rPr>
          <w:rFonts w:ascii="ITCCenturyBookT" w:hAnsi="ITCCenturyBookT"/>
          <w:caps/>
          <w:sz w:val="22"/>
        </w:rPr>
      </w:pPr>
      <w:r>
        <w:rPr>
          <w:rFonts w:ascii="ITCCenturyBookT" w:hAnsi="ITCCenturyBookT"/>
          <w:sz w:val="22"/>
        </w:rPr>
        <w:t xml:space="preserve">Applicable to </w:t>
      </w:r>
      <w:r>
        <w:rPr>
          <w:rFonts w:ascii="ITCCenturyBookT" w:hAnsi="ITCCenturyBookT"/>
          <w:b/>
          <w:i/>
          <w:sz w:val="22"/>
        </w:rPr>
        <w:t>High Impact Contractors</w:t>
      </w:r>
      <w:r>
        <w:rPr>
          <w:rFonts w:ascii="ITCCenturyBookT" w:hAnsi="ITCCenturyBookT"/>
          <w:sz w:val="22"/>
        </w:rPr>
        <w:t xml:space="preserve"> and activity creating potential health and safety concerns for building occupants. </w:t>
      </w:r>
    </w:p>
    <w:p w14:paraId="44B21BF1" w14:textId="77777777" w:rsidR="005C16F2" w:rsidRDefault="005C16F2" w:rsidP="005C16F2">
      <w:pPr>
        <w:pStyle w:val="subheading1"/>
        <w:numPr>
          <w:ilvl w:val="0"/>
          <w:numId w:val="0"/>
        </w:numPr>
        <w:ind w:left="720"/>
        <w:rPr>
          <w:rFonts w:ascii="ITCCenturyBookT" w:hAnsi="ITCCenturyBookT"/>
          <w:sz w:val="22"/>
        </w:rPr>
      </w:pPr>
    </w:p>
    <w:p w14:paraId="7FE6B899" w14:textId="77777777" w:rsidR="005C16F2" w:rsidRDefault="005C16F2" w:rsidP="005C16F2">
      <w:pPr>
        <w:pStyle w:val="bodytext0"/>
        <w:rPr>
          <w:rFonts w:ascii="ITCCenturyBookT" w:hAnsi="ITCCenturyBookT"/>
          <w:color w:val="000000"/>
          <w:sz w:val="22"/>
        </w:rPr>
      </w:pPr>
      <w:r>
        <w:rPr>
          <w:rFonts w:ascii="ITCCenturyBookT" w:hAnsi="ITCCenturyBookT"/>
          <w:color w:val="000000"/>
          <w:sz w:val="22"/>
        </w:rPr>
        <w:t xml:space="preserve">Contractors are expected to understand and comply with all applicable laws and regulations of any governmental entity or sovereign authority that pertain to environmental, health and safety standards and/or work practices applicable to the activities they perform.  These include but are not limited to: </w:t>
      </w:r>
    </w:p>
    <w:p w14:paraId="5144D3CC" w14:textId="77777777" w:rsidR="005C16F2" w:rsidRDefault="005C16F2" w:rsidP="005C16F2">
      <w:pPr>
        <w:pStyle w:val="bodytext0"/>
        <w:numPr>
          <w:ilvl w:val="0"/>
          <w:numId w:val="14"/>
        </w:numPr>
        <w:tabs>
          <w:tab w:val="clear" w:pos="360"/>
          <w:tab w:val="num" w:pos="1080"/>
        </w:tabs>
        <w:ind w:left="1080" w:firstLine="0"/>
        <w:rPr>
          <w:rFonts w:ascii="ITCCenturyBookT" w:hAnsi="ITCCenturyBookT"/>
          <w:sz w:val="22"/>
        </w:rPr>
      </w:pPr>
      <w:r>
        <w:rPr>
          <w:rFonts w:ascii="ITCCenturyBookT" w:hAnsi="ITCCenturyBookT"/>
          <w:sz w:val="22"/>
        </w:rPr>
        <w:t>Storage, handling, and use of flammable liquids and hazardous materials</w:t>
      </w:r>
    </w:p>
    <w:p w14:paraId="587E0982" w14:textId="77777777" w:rsidR="005C16F2" w:rsidRDefault="005C16F2" w:rsidP="005C16F2">
      <w:pPr>
        <w:pStyle w:val="bodytext0"/>
        <w:numPr>
          <w:ilvl w:val="0"/>
          <w:numId w:val="14"/>
        </w:numPr>
        <w:tabs>
          <w:tab w:val="clear" w:pos="360"/>
          <w:tab w:val="num" w:pos="1080"/>
        </w:tabs>
        <w:ind w:left="1080" w:firstLine="0"/>
        <w:rPr>
          <w:rFonts w:ascii="ITCCenturyBookT" w:hAnsi="ITCCenturyBookT"/>
          <w:sz w:val="22"/>
        </w:rPr>
      </w:pPr>
      <w:r>
        <w:rPr>
          <w:rFonts w:ascii="ITCCenturyBookT" w:hAnsi="ITCCenturyBookT"/>
          <w:sz w:val="22"/>
        </w:rPr>
        <w:t>Storage, handling, and use of compressed gas cylinders</w:t>
      </w:r>
    </w:p>
    <w:p w14:paraId="763F963E" w14:textId="77777777" w:rsidR="005C16F2" w:rsidRDefault="005C16F2" w:rsidP="005C16F2">
      <w:pPr>
        <w:pStyle w:val="bodytext0"/>
        <w:numPr>
          <w:ilvl w:val="0"/>
          <w:numId w:val="14"/>
        </w:numPr>
        <w:tabs>
          <w:tab w:val="clear" w:pos="360"/>
          <w:tab w:val="num" w:pos="1080"/>
        </w:tabs>
        <w:ind w:left="1080" w:firstLine="0"/>
        <w:rPr>
          <w:rFonts w:ascii="ITCCenturyBookT" w:hAnsi="ITCCenturyBookT"/>
          <w:sz w:val="22"/>
        </w:rPr>
      </w:pPr>
      <w:r>
        <w:rPr>
          <w:rFonts w:ascii="ITCCenturyBookT" w:hAnsi="ITCCenturyBookT"/>
          <w:sz w:val="22"/>
        </w:rPr>
        <w:t>Periodic safety inspections of equipment and work-site housekeeping</w:t>
      </w:r>
    </w:p>
    <w:p w14:paraId="0073B673" w14:textId="77777777" w:rsidR="005C16F2" w:rsidRDefault="005C16F2" w:rsidP="005C16F2">
      <w:pPr>
        <w:pStyle w:val="bodytext0"/>
        <w:numPr>
          <w:ilvl w:val="0"/>
          <w:numId w:val="14"/>
        </w:numPr>
        <w:tabs>
          <w:tab w:val="clear" w:pos="360"/>
          <w:tab w:val="num" w:pos="1080"/>
        </w:tabs>
        <w:ind w:left="1080" w:firstLine="0"/>
        <w:rPr>
          <w:rFonts w:ascii="ITCCenturyBookT" w:hAnsi="ITCCenturyBookT"/>
          <w:sz w:val="22"/>
        </w:rPr>
      </w:pPr>
      <w:r>
        <w:rPr>
          <w:rFonts w:ascii="ITCCenturyBookT" w:hAnsi="ITCCenturyBookT"/>
          <w:sz w:val="22"/>
        </w:rPr>
        <w:t>Use of fall protection while working at heights</w:t>
      </w:r>
    </w:p>
    <w:p w14:paraId="722AF8DF" w14:textId="77777777" w:rsidR="005C16F2" w:rsidRDefault="005C16F2" w:rsidP="005C16F2">
      <w:pPr>
        <w:pStyle w:val="bodytext0"/>
        <w:numPr>
          <w:ilvl w:val="0"/>
          <w:numId w:val="14"/>
        </w:numPr>
        <w:tabs>
          <w:tab w:val="clear" w:pos="360"/>
          <w:tab w:val="num" w:pos="1080"/>
        </w:tabs>
        <w:ind w:left="1080" w:firstLine="0"/>
        <w:rPr>
          <w:rFonts w:ascii="ITCCenturyBookT" w:hAnsi="ITCCenturyBookT"/>
          <w:sz w:val="22"/>
        </w:rPr>
      </w:pPr>
      <w:r>
        <w:rPr>
          <w:rFonts w:ascii="ITCCenturyBookT" w:hAnsi="ITCCenturyBookT"/>
          <w:sz w:val="22"/>
        </w:rPr>
        <w:t>Following electrical safety practices and lock out / tag out procedures</w:t>
      </w:r>
    </w:p>
    <w:p w14:paraId="759A6B76" w14:textId="77777777" w:rsidR="005C16F2" w:rsidRDefault="005C16F2" w:rsidP="005C16F2">
      <w:pPr>
        <w:pStyle w:val="bodytext0"/>
        <w:numPr>
          <w:ilvl w:val="0"/>
          <w:numId w:val="14"/>
        </w:numPr>
        <w:tabs>
          <w:tab w:val="clear" w:pos="360"/>
          <w:tab w:val="num" w:pos="1080"/>
        </w:tabs>
        <w:ind w:left="1080" w:firstLine="0"/>
        <w:rPr>
          <w:rFonts w:ascii="ITCCenturyBookT" w:hAnsi="ITCCenturyBookT"/>
          <w:sz w:val="22"/>
        </w:rPr>
      </w:pPr>
      <w:r>
        <w:rPr>
          <w:rFonts w:ascii="ITCCenturyBookT" w:hAnsi="ITCCenturyBookT"/>
          <w:sz w:val="22"/>
        </w:rPr>
        <w:t>Proper use of personal protective equipment</w:t>
      </w:r>
    </w:p>
    <w:p w14:paraId="40197B30" w14:textId="77777777" w:rsidR="005C16F2" w:rsidRDefault="005C16F2" w:rsidP="005C16F2">
      <w:pPr>
        <w:pStyle w:val="bodytext0"/>
        <w:numPr>
          <w:ilvl w:val="0"/>
          <w:numId w:val="14"/>
        </w:numPr>
        <w:tabs>
          <w:tab w:val="clear" w:pos="360"/>
          <w:tab w:val="num" w:pos="1080"/>
        </w:tabs>
        <w:ind w:left="1080" w:firstLine="0"/>
        <w:rPr>
          <w:rFonts w:ascii="ITCCenturyBookT" w:hAnsi="ITCCenturyBookT"/>
          <w:sz w:val="22"/>
        </w:rPr>
      </w:pPr>
      <w:r>
        <w:rPr>
          <w:rFonts w:ascii="ITCCenturyBookT" w:hAnsi="ITCCenturyBookT"/>
          <w:sz w:val="22"/>
        </w:rPr>
        <w:t>Proper maintenance and use of ladders and other equipment</w:t>
      </w:r>
    </w:p>
    <w:p w14:paraId="2C97BAE1" w14:textId="77777777" w:rsidR="005C16F2" w:rsidRDefault="005C16F2" w:rsidP="005C16F2">
      <w:pPr>
        <w:pStyle w:val="bodytext0"/>
        <w:numPr>
          <w:ilvl w:val="0"/>
          <w:numId w:val="14"/>
        </w:numPr>
        <w:tabs>
          <w:tab w:val="clear" w:pos="360"/>
          <w:tab w:val="num" w:pos="1080"/>
        </w:tabs>
        <w:ind w:left="1080" w:firstLine="0"/>
        <w:rPr>
          <w:rFonts w:ascii="ITCCenturyBookT" w:hAnsi="ITCCenturyBookT"/>
          <w:sz w:val="22"/>
        </w:rPr>
      </w:pPr>
      <w:r>
        <w:rPr>
          <w:rFonts w:ascii="ITCCenturyBookT" w:hAnsi="ITCCenturyBookT"/>
          <w:sz w:val="22"/>
        </w:rPr>
        <w:t>Guarding of wall and floor openings, open trenches, and excavations</w:t>
      </w:r>
    </w:p>
    <w:p w14:paraId="53E9066E" w14:textId="77777777" w:rsidR="005C16F2" w:rsidRDefault="005C16F2" w:rsidP="005C16F2">
      <w:pPr>
        <w:pStyle w:val="bodytext0"/>
        <w:rPr>
          <w:rFonts w:ascii="ITCCenturyBookT" w:hAnsi="ITCCenturyBookT"/>
          <w:sz w:val="22"/>
        </w:rPr>
      </w:pPr>
    </w:p>
    <w:p w14:paraId="2DA888BF" w14:textId="77777777" w:rsidR="005C16F2" w:rsidRDefault="005C16F2" w:rsidP="005C16F2">
      <w:pPr>
        <w:pStyle w:val="bodytext0"/>
        <w:rPr>
          <w:rFonts w:ascii="ITCCenturyBookT" w:hAnsi="ITCCenturyBookT"/>
          <w:sz w:val="22"/>
        </w:rPr>
      </w:pPr>
      <w:r>
        <w:rPr>
          <w:rFonts w:ascii="ITCCenturyBookT" w:hAnsi="ITCCenturyBookT"/>
          <w:color w:val="000000"/>
          <w:sz w:val="22"/>
        </w:rPr>
        <w:t xml:space="preserve">At Agilent’s written request, the Contractor or their Subcontractors must provide documentation of its completion of any regulatory obligations under this agreement.  </w:t>
      </w:r>
      <w:r>
        <w:rPr>
          <w:rFonts w:ascii="ITCCenturyBookT" w:hAnsi="ITCCenturyBookT"/>
          <w:sz w:val="22"/>
        </w:rPr>
        <w:t>The Contractor shall maintain documentation and verification of work-related certifications and licenses of its workers or subcontractors.  Additional safety requirements specific to Agilent Sites are listed in sections 9.1 – 9.14.</w:t>
      </w:r>
    </w:p>
    <w:p w14:paraId="3592D89C" w14:textId="77777777" w:rsidR="005C16F2" w:rsidRDefault="005C16F2" w:rsidP="005C16F2">
      <w:pPr>
        <w:pStyle w:val="bodytext0"/>
      </w:pPr>
    </w:p>
    <w:p w14:paraId="5D8CAE9D" w14:textId="77777777" w:rsidR="005C16F2" w:rsidRDefault="005C16F2" w:rsidP="005C16F2">
      <w:pPr>
        <w:pStyle w:val="subheading1"/>
        <w:numPr>
          <w:ilvl w:val="1"/>
          <w:numId w:val="1"/>
        </w:numPr>
      </w:pPr>
      <w:r>
        <w:t>Construction and Renovation Hazards</w:t>
      </w:r>
    </w:p>
    <w:p w14:paraId="7913A3FC"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When construction or demolition work may create harmful exposures to the environment or building occupants, the Agilent Project Manager/Host and Agilent EHS must be involved in planning appropriate controls to manage the hazards and communicate appropriate information to building occupants.</w:t>
      </w:r>
    </w:p>
    <w:p w14:paraId="0186EA6B" w14:textId="77777777" w:rsidR="005C16F2" w:rsidRDefault="005C16F2" w:rsidP="005C16F2">
      <w:pPr>
        <w:pStyle w:val="subheading1"/>
        <w:numPr>
          <w:ilvl w:val="0"/>
          <w:numId w:val="0"/>
        </w:numPr>
        <w:ind w:left="720"/>
      </w:pPr>
    </w:p>
    <w:p w14:paraId="2FDBC5B1" w14:textId="77777777" w:rsidR="005C16F2" w:rsidRDefault="005C16F2" w:rsidP="005C16F2">
      <w:pPr>
        <w:pStyle w:val="subheading1"/>
        <w:numPr>
          <w:ilvl w:val="1"/>
          <w:numId w:val="1"/>
        </w:numPr>
      </w:pPr>
      <w:r>
        <w:t>Hot Work</w:t>
      </w:r>
      <w:r>
        <w:rPr>
          <w:rStyle w:val="FootnoteReference"/>
        </w:rPr>
        <w:footnoteReference w:customMarkFollows="1" w:id="5"/>
        <w:t>1</w:t>
      </w:r>
    </w:p>
    <w:p w14:paraId="1D3BE155" w14:textId="77777777" w:rsidR="005C16F2" w:rsidRDefault="005C16F2" w:rsidP="005C16F2">
      <w:pPr>
        <w:pStyle w:val="bodytext20"/>
        <w:numPr>
          <w:ilvl w:val="0"/>
          <w:numId w:val="10"/>
        </w:numPr>
        <w:tabs>
          <w:tab w:val="clear" w:pos="360"/>
          <w:tab w:val="num" w:pos="1800"/>
        </w:tabs>
        <w:ind w:left="1800"/>
        <w:rPr>
          <w:rFonts w:ascii="ITCCenturyBookT" w:hAnsi="ITCCenturyBookT"/>
          <w:color w:val="000000"/>
          <w:sz w:val="22"/>
        </w:rPr>
      </w:pPr>
      <w:r>
        <w:rPr>
          <w:rFonts w:ascii="ITCCenturyBookT" w:hAnsi="ITCCenturyBookT"/>
          <w:color w:val="000000"/>
          <w:sz w:val="22"/>
        </w:rPr>
        <w:t>A Hot Work Permit process approved by Agilent and/or their loss prevention engineering firm is required for any temporary operation involving open flame, heat, or spark production.  This includes, but is not limited to brazing,</w:t>
      </w:r>
      <w:r>
        <w:rPr>
          <w:rFonts w:ascii="Univers Condensed" w:hAnsi="Univers Condensed"/>
          <w:color w:val="000000"/>
        </w:rPr>
        <w:t xml:space="preserve"> </w:t>
      </w:r>
      <w:r>
        <w:rPr>
          <w:rFonts w:ascii="ITCCenturyBookT" w:hAnsi="ITCCenturyBookT"/>
          <w:color w:val="000000"/>
          <w:sz w:val="22"/>
        </w:rPr>
        <w:t xml:space="preserve">cutting, grinding, soldering, pipes thawing, welding, and torch-applied roofing.  This permit must also meet the minimum </w:t>
      </w:r>
      <w:r>
        <w:rPr>
          <w:rFonts w:ascii="ITCCenturyBookT" w:hAnsi="ITCCenturyBookT"/>
          <w:color w:val="000000"/>
          <w:sz w:val="22"/>
        </w:rPr>
        <w:lastRenderedPageBreak/>
        <w:t>requirements of any applicable laws and regulations of any governmental entity or sovereign authority.</w:t>
      </w:r>
    </w:p>
    <w:p w14:paraId="1D404A8B" w14:textId="77777777" w:rsidR="005C16F2" w:rsidRDefault="005C16F2" w:rsidP="005C16F2">
      <w:pPr>
        <w:pStyle w:val="bodytext20"/>
        <w:ind w:left="1440" w:firstLine="0"/>
        <w:rPr>
          <w:rFonts w:ascii="ITCCenturyBookT" w:hAnsi="ITCCenturyBookT"/>
          <w:color w:val="000000"/>
          <w:sz w:val="22"/>
        </w:rPr>
      </w:pPr>
    </w:p>
    <w:p w14:paraId="46786B5C" w14:textId="77777777" w:rsidR="005C16F2" w:rsidRDefault="005C16F2" w:rsidP="005C16F2">
      <w:pPr>
        <w:pStyle w:val="bodytext20"/>
        <w:ind w:left="1440" w:firstLine="0"/>
        <w:rPr>
          <w:rFonts w:ascii="ITCCenturyBookT" w:hAnsi="ITCCenturyBookT"/>
          <w:b/>
          <w:color w:val="000000"/>
          <w:sz w:val="22"/>
        </w:rPr>
      </w:pPr>
      <w:r>
        <w:rPr>
          <w:rFonts w:ascii="ITCCenturyBookT" w:hAnsi="ITCCenturyBookT"/>
          <w:b/>
          <w:color w:val="000000"/>
          <w:sz w:val="22"/>
        </w:rPr>
        <w:t xml:space="preserve">Precautions must be taken to prevent interference with area gas detection equipment and smoke detectors that may evacuate the area or the building. </w:t>
      </w:r>
      <w:r>
        <w:rPr>
          <w:rStyle w:val="FootnoteReference"/>
          <w:rFonts w:ascii="ITCCenturyBookT" w:hAnsi="ITCCenturyBookT"/>
          <w:b/>
          <w:color w:val="000000"/>
          <w:sz w:val="22"/>
        </w:rPr>
        <w:footnoteReference w:customMarkFollows="1" w:id="6"/>
        <w:t>1</w:t>
      </w:r>
    </w:p>
    <w:p w14:paraId="14BB74BD" w14:textId="77777777" w:rsidR="005C16F2" w:rsidRDefault="005C16F2" w:rsidP="005C16F2">
      <w:pPr>
        <w:pStyle w:val="bodytext20"/>
        <w:ind w:left="1440" w:firstLine="0"/>
        <w:rPr>
          <w:rFonts w:ascii="ITCCenturyBookT" w:hAnsi="ITCCenturyBookT"/>
          <w:color w:val="000000"/>
          <w:sz w:val="22"/>
        </w:rPr>
      </w:pPr>
    </w:p>
    <w:p w14:paraId="767A3D64"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 xml:space="preserve">To prevent the formation of toxic gases caused by decomposition, welding and other hot work are prohibited in areas where the vapors of chlorinated hydrocarbons may be present in the atmosphere.  </w:t>
      </w:r>
    </w:p>
    <w:p w14:paraId="4A921126" w14:textId="77777777" w:rsidR="005C16F2" w:rsidRDefault="005C16F2" w:rsidP="005C16F2">
      <w:pPr>
        <w:widowControl w:val="0"/>
        <w:tabs>
          <w:tab w:val="left" w:pos="798"/>
          <w:tab w:val="left" w:pos="2160"/>
          <w:tab w:val="left" w:pos="2970"/>
          <w:tab w:val="left" w:pos="3600"/>
          <w:tab w:val="left" w:pos="4050"/>
          <w:tab w:val="left" w:pos="5040"/>
        </w:tabs>
        <w:ind w:left="57"/>
        <w:rPr>
          <w:snapToGrid w:val="0"/>
          <w:color w:val="000000"/>
          <w:sz w:val="24"/>
        </w:rPr>
      </w:pPr>
    </w:p>
    <w:p w14:paraId="60A8C754" w14:textId="77777777" w:rsidR="005C16F2" w:rsidRDefault="005C16F2" w:rsidP="005C16F2">
      <w:pPr>
        <w:pStyle w:val="subheading1"/>
        <w:numPr>
          <w:ilvl w:val="1"/>
          <w:numId w:val="1"/>
        </w:numPr>
        <w:rPr>
          <w:caps/>
          <w:snapToGrid w:val="0"/>
        </w:rPr>
      </w:pPr>
      <w:r>
        <w:t>Confined Spaces</w:t>
      </w:r>
      <w:r>
        <w:rPr>
          <w:rStyle w:val="FootnoteReference"/>
        </w:rPr>
        <w:footnoteReference w:customMarkFollows="1" w:id="7"/>
        <w:t>1</w:t>
      </w:r>
    </w:p>
    <w:p w14:paraId="45F3CA44"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 xml:space="preserve">Some Agilent sites contain Confined Spaces and Permit Required Confined Spaces.  Entry into Permit Required Confined Space must meet local regulatory requirements including rescue availability.  Activities should be performed remotely from outside the confined space if possible.  </w:t>
      </w:r>
    </w:p>
    <w:p w14:paraId="34A369FF" w14:textId="77777777" w:rsidR="005C16F2" w:rsidRDefault="005C16F2" w:rsidP="005C16F2">
      <w:pPr>
        <w:pStyle w:val="bodytext20"/>
        <w:numPr>
          <w:ilvl w:val="0"/>
          <w:numId w:val="11"/>
        </w:numPr>
        <w:tabs>
          <w:tab w:val="clear" w:pos="360"/>
          <w:tab w:val="num" w:pos="1800"/>
        </w:tabs>
        <w:ind w:left="1800"/>
        <w:rPr>
          <w:rFonts w:ascii="ITCCenturyBookT" w:hAnsi="ITCCenturyBookT"/>
          <w:color w:val="000000"/>
          <w:sz w:val="22"/>
        </w:rPr>
      </w:pPr>
      <w:r>
        <w:rPr>
          <w:rFonts w:ascii="ITCCenturyBookT" w:hAnsi="ITCCenturyBookT"/>
          <w:color w:val="000000"/>
          <w:sz w:val="22"/>
        </w:rPr>
        <w:t>Agilent EHS must be notified of any construction activities that create a new confined space.</w:t>
      </w:r>
    </w:p>
    <w:p w14:paraId="7C262690" w14:textId="77777777" w:rsidR="005C16F2" w:rsidRDefault="005C16F2" w:rsidP="005C16F2">
      <w:pPr>
        <w:pStyle w:val="bodytext20"/>
        <w:numPr>
          <w:ilvl w:val="0"/>
          <w:numId w:val="11"/>
        </w:numPr>
        <w:tabs>
          <w:tab w:val="clear" w:pos="360"/>
          <w:tab w:val="num" w:pos="1800"/>
        </w:tabs>
        <w:ind w:left="1800"/>
        <w:rPr>
          <w:rFonts w:ascii="ITCCenturyBookT" w:hAnsi="ITCCenturyBookT"/>
          <w:b/>
          <w:color w:val="000000"/>
          <w:sz w:val="22"/>
        </w:rPr>
      </w:pPr>
      <w:r>
        <w:rPr>
          <w:rFonts w:ascii="ITCCenturyBookT" w:hAnsi="ITCCenturyBookT"/>
          <w:color w:val="000000"/>
          <w:sz w:val="22"/>
        </w:rPr>
        <w:t>Agilent EHS must be notified of any confined spaces that have not been identified with signs or are not on the inventory list.</w:t>
      </w:r>
    </w:p>
    <w:p w14:paraId="5EA254BA" w14:textId="77777777" w:rsidR="005C16F2" w:rsidRDefault="005C16F2" w:rsidP="005C16F2">
      <w:pPr>
        <w:pStyle w:val="subheading1"/>
        <w:numPr>
          <w:ilvl w:val="0"/>
          <w:numId w:val="0"/>
        </w:numPr>
        <w:ind w:left="720"/>
      </w:pPr>
    </w:p>
    <w:p w14:paraId="14994B80" w14:textId="77777777" w:rsidR="005C16F2" w:rsidRDefault="005C16F2" w:rsidP="005C16F2">
      <w:pPr>
        <w:pStyle w:val="subheading1"/>
        <w:numPr>
          <w:ilvl w:val="1"/>
          <w:numId w:val="1"/>
        </w:numPr>
      </w:pPr>
      <w:r>
        <w:t>Electrical Safety</w:t>
      </w:r>
    </w:p>
    <w:p w14:paraId="57F21E81"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Only individuals meeting local requirements for qualification, licensing, and training will install, repair, modify, or remove electrical service, wiring, or equipment at Agilent sites.  </w:t>
      </w:r>
    </w:p>
    <w:p w14:paraId="7E890CC2" w14:textId="77777777" w:rsidR="005C16F2" w:rsidRDefault="005C16F2" w:rsidP="005C16F2">
      <w:pPr>
        <w:pStyle w:val="subheading2"/>
        <w:ind w:left="1440" w:firstLine="0"/>
        <w:rPr>
          <w:rFonts w:ascii="ITCCenturyBookT" w:hAnsi="ITCCenturyBookT"/>
          <w:b w:val="0"/>
          <w:color w:val="000000"/>
          <w:sz w:val="22"/>
        </w:rPr>
      </w:pPr>
    </w:p>
    <w:p w14:paraId="6ABB5CC5"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 xml:space="preserve">Electrical work should be performed on de-energized circuits unless a compelling reason exists requiring the work be conducted on energized electrical circuits.  Exceptions are made for testing and calibrating of equipment that must be operating to be tested or calibrated.  </w:t>
      </w:r>
    </w:p>
    <w:p w14:paraId="30E2D9CB" w14:textId="77777777" w:rsidR="005C16F2" w:rsidRDefault="005C16F2" w:rsidP="005C16F2">
      <w:pPr>
        <w:pStyle w:val="subheading2"/>
        <w:ind w:left="1440" w:firstLine="0"/>
        <w:rPr>
          <w:rFonts w:ascii="ITCCenturyBookT" w:hAnsi="ITCCenturyBookT"/>
          <w:b w:val="0"/>
          <w:color w:val="000000"/>
          <w:sz w:val="22"/>
        </w:rPr>
      </w:pPr>
    </w:p>
    <w:p w14:paraId="09CA0DA0" w14:textId="77777777" w:rsidR="005C16F2" w:rsidRDefault="005C16F2" w:rsidP="005C16F2">
      <w:pPr>
        <w:pStyle w:val="subheading2"/>
        <w:ind w:left="1440" w:firstLine="0"/>
        <w:rPr>
          <w:rFonts w:ascii="ITCCenturyBookT" w:hAnsi="ITCCenturyBookT"/>
          <w:b w:val="0"/>
          <w:color w:val="000000"/>
          <w:sz w:val="22"/>
        </w:rPr>
      </w:pPr>
      <w:r>
        <w:rPr>
          <w:rFonts w:ascii="ITCCenturyBookT" w:hAnsi="ITCCenturyBookT"/>
          <w:b w:val="0"/>
          <w:color w:val="000000"/>
          <w:sz w:val="22"/>
        </w:rPr>
        <w:t>If energized electrical work will be performed, the Contractor is expected to implement an Energized Electrical Work program with appropriate work permits, guarding, PPE and safe work practices.  Unguarded energized parts shall not be left unattended.</w:t>
      </w:r>
    </w:p>
    <w:p w14:paraId="2779748A" w14:textId="77777777" w:rsidR="005C16F2" w:rsidRDefault="005C16F2" w:rsidP="005C16F2">
      <w:pPr>
        <w:widowControl w:val="0"/>
        <w:tabs>
          <w:tab w:val="left" w:pos="720"/>
          <w:tab w:val="left" w:pos="1440"/>
          <w:tab w:val="left" w:pos="2880"/>
          <w:tab w:val="left" w:pos="3600"/>
          <w:tab w:val="left" w:pos="4320"/>
          <w:tab w:val="left" w:pos="5040"/>
          <w:tab w:val="left" w:pos="5760"/>
          <w:tab w:val="left" w:pos="6480"/>
          <w:tab w:val="left" w:pos="7200"/>
          <w:tab w:val="left" w:pos="7920"/>
          <w:tab w:val="left" w:pos="8640"/>
        </w:tabs>
        <w:spacing w:line="240" w:lineRule="exact"/>
        <w:rPr>
          <w:sz w:val="24"/>
        </w:rPr>
      </w:pPr>
    </w:p>
    <w:p w14:paraId="79789B8F" w14:textId="77777777" w:rsidR="005C16F2" w:rsidRDefault="005C16F2" w:rsidP="005C16F2">
      <w:pPr>
        <w:pStyle w:val="subheading1"/>
        <w:numPr>
          <w:ilvl w:val="1"/>
          <w:numId w:val="1"/>
        </w:numPr>
      </w:pPr>
      <w:r>
        <w:t>Lock Out / Tag Out (Energy Control Program)</w:t>
      </w:r>
    </w:p>
    <w:p w14:paraId="22F4BD74"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 xml:space="preserve">The Contractor shall implement an energy control program (Lock out / Tag Out) that meets applicable laws and regulations of any governmental entity or sovereign authority that pertain to environmental, health and safety standards and/or work practices to include control of electrical and other forms of hazardous energy as necessary. </w:t>
      </w:r>
    </w:p>
    <w:p w14:paraId="2214D266" w14:textId="77777777" w:rsidR="005C16F2" w:rsidRDefault="005C16F2" w:rsidP="005C16F2">
      <w:pPr>
        <w:pStyle w:val="bodytext20"/>
        <w:numPr>
          <w:ilvl w:val="0"/>
          <w:numId w:val="12"/>
        </w:numPr>
        <w:tabs>
          <w:tab w:val="clear" w:pos="360"/>
          <w:tab w:val="num" w:pos="1800"/>
        </w:tabs>
        <w:ind w:left="1800"/>
        <w:rPr>
          <w:rFonts w:ascii="ITCCenturyBookT" w:hAnsi="ITCCenturyBookT"/>
          <w:color w:val="000000"/>
          <w:sz w:val="22"/>
        </w:rPr>
      </w:pPr>
      <w:r>
        <w:rPr>
          <w:rFonts w:ascii="ITCCenturyBookT" w:hAnsi="ITCCenturyBookT"/>
          <w:color w:val="000000"/>
          <w:sz w:val="22"/>
        </w:rPr>
        <w:t>Contractors must coordinate LOTO activities with Agilent Project Manager/Host when employees of both Agilent, and the Contractor or Subcontractor are involved.</w:t>
      </w:r>
    </w:p>
    <w:p w14:paraId="13D862EE" w14:textId="77777777" w:rsidR="005C16F2" w:rsidRDefault="005C16F2" w:rsidP="005C16F2">
      <w:pPr>
        <w:pStyle w:val="subheading1"/>
        <w:numPr>
          <w:ilvl w:val="0"/>
          <w:numId w:val="0"/>
        </w:numPr>
        <w:ind w:left="720"/>
      </w:pPr>
    </w:p>
    <w:p w14:paraId="6F581010" w14:textId="77777777" w:rsidR="005C16F2" w:rsidRDefault="005C16F2" w:rsidP="005C16F2">
      <w:pPr>
        <w:pStyle w:val="subheading1"/>
        <w:numPr>
          <w:ilvl w:val="1"/>
          <w:numId w:val="1"/>
        </w:numPr>
      </w:pPr>
      <w:r>
        <w:t>Aisles, Exits, and Walking Surfaces</w:t>
      </w:r>
    </w:p>
    <w:p w14:paraId="206D1A38"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lastRenderedPageBreak/>
        <w:t xml:space="preserve">All exits, aisle ways, and other walking surfaces must be kept free and clear of equipment, tools, materials, debris, and other tripping or slipping hazards at all times. </w:t>
      </w:r>
    </w:p>
    <w:p w14:paraId="1493991C" w14:textId="77777777" w:rsidR="005C16F2" w:rsidRDefault="005C16F2" w:rsidP="005C16F2">
      <w:pPr>
        <w:pStyle w:val="bodytext20"/>
        <w:ind w:left="1440" w:firstLine="0"/>
        <w:rPr>
          <w:rFonts w:ascii="ITCCenturyBookT" w:hAnsi="ITCCenturyBookT"/>
          <w:color w:val="000000"/>
          <w:sz w:val="22"/>
        </w:rPr>
      </w:pPr>
    </w:p>
    <w:p w14:paraId="7D657493"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When construction activities create a hazard for pedestrians, the area must be barricaded to prevent entry and DETOUR signs posted to redirect pedestrian traffic.  Agilent Project Manager/Host and/or EHS must review any plans to block an exit aisle.</w:t>
      </w:r>
    </w:p>
    <w:p w14:paraId="38362E74" w14:textId="77777777" w:rsidR="005C16F2" w:rsidRDefault="005C16F2" w:rsidP="005C16F2">
      <w:pPr>
        <w:pStyle w:val="bodytext20"/>
        <w:ind w:left="1440" w:firstLine="0"/>
        <w:rPr>
          <w:rFonts w:ascii="ITCCenturyBookT" w:hAnsi="ITCCenturyBookT"/>
          <w:color w:val="000000"/>
          <w:sz w:val="22"/>
        </w:rPr>
      </w:pPr>
    </w:p>
    <w:p w14:paraId="11A0E625"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Agilent Project Management must approve temporary staging of construction tools and materials in corridors.  Cones or barricades must be used to isolate any staged equipment and identify the owner of the equipment.</w:t>
      </w:r>
    </w:p>
    <w:p w14:paraId="64A9D049" w14:textId="77777777" w:rsidR="005C16F2" w:rsidRDefault="005C16F2" w:rsidP="005C16F2">
      <w:pPr>
        <w:pStyle w:val="subheading1"/>
        <w:numPr>
          <w:ilvl w:val="0"/>
          <w:numId w:val="0"/>
        </w:numPr>
        <w:ind w:left="720"/>
      </w:pPr>
    </w:p>
    <w:p w14:paraId="61A87F39" w14:textId="77777777" w:rsidR="005C16F2" w:rsidRDefault="005C16F2" w:rsidP="005C16F2">
      <w:pPr>
        <w:pStyle w:val="subheading1"/>
        <w:numPr>
          <w:ilvl w:val="1"/>
          <w:numId w:val="1"/>
        </w:numPr>
      </w:pPr>
      <w:r>
        <w:t>Housekeeping</w:t>
      </w:r>
    </w:p>
    <w:p w14:paraId="18258D78" w14:textId="77777777" w:rsidR="005C16F2" w:rsidRDefault="005C16F2" w:rsidP="005C16F2">
      <w:pPr>
        <w:pStyle w:val="bodytext20"/>
        <w:ind w:left="1440" w:firstLine="0"/>
        <w:rPr>
          <w:rFonts w:ascii="ITCCenturyBookT" w:hAnsi="ITCCenturyBookT"/>
          <w:b/>
          <w:color w:val="000000"/>
          <w:sz w:val="22"/>
        </w:rPr>
      </w:pPr>
      <w:r>
        <w:rPr>
          <w:rFonts w:ascii="ITCCenturyBookT" w:hAnsi="ITCCenturyBookT"/>
          <w:color w:val="000000"/>
          <w:sz w:val="22"/>
        </w:rPr>
        <w:t>Debris and other scrap materials of the job must be cleaned up daily and placed in debris boxes or other suitable containers for disposal on a regular basis.</w:t>
      </w:r>
    </w:p>
    <w:p w14:paraId="73B0ED50" w14:textId="77777777" w:rsidR="005C16F2" w:rsidRDefault="005C16F2" w:rsidP="005C16F2">
      <w:pPr>
        <w:pStyle w:val="subheading1"/>
        <w:numPr>
          <w:ilvl w:val="0"/>
          <w:numId w:val="0"/>
        </w:numPr>
        <w:ind w:left="720"/>
      </w:pPr>
    </w:p>
    <w:p w14:paraId="658D0328" w14:textId="77777777" w:rsidR="005C16F2" w:rsidRDefault="005C16F2" w:rsidP="005C16F2">
      <w:pPr>
        <w:pStyle w:val="subheading1"/>
        <w:numPr>
          <w:ilvl w:val="1"/>
          <w:numId w:val="1"/>
        </w:numPr>
      </w:pPr>
      <w:r>
        <w:t>Fire Protection Systems and Utilities Impairments</w:t>
      </w:r>
      <w:r>
        <w:rPr>
          <w:rStyle w:val="FootnoteReference"/>
        </w:rPr>
        <w:footnoteReference w:customMarkFollows="1" w:id="8"/>
        <w:t>1</w:t>
      </w:r>
    </w:p>
    <w:p w14:paraId="6DBF015A" w14:textId="77777777" w:rsidR="005C16F2" w:rsidRDefault="005C16F2" w:rsidP="005C16F2">
      <w:pPr>
        <w:pStyle w:val="bodytext20"/>
        <w:numPr>
          <w:ilvl w:val="0"/>
          <w:numId w:val="10"/>
        </w:numPr>
        <w:tabs>
          <w:tab w:val="clear" w:pos="360"/>
          <w:tab w:val="num" w:pos="1800"/>
        </w:tabs>
        <w:ind w:left="1800"/>
        <w:rPr>
          <w:rFonts w:ascii="ITCCenturyBookT" w:hAnsi="ITCCenturyBookT"/>
          <w:color w:val="000000"/>
          <w:sz w:val="22"/>
        </w:rPr>
      </w:pPr>
      <w:r>
        <w:rPr>
          <w:rFonts w:ascii="ITCCenturyBookT" w:hAnsi="ITCCenturyBookT"/>
          <w:color w:val="000000"/>
          <w:sz w:val="22"/>
        </w:rPr>
        <w:t>Work on fire protection systems that requires the system to be impaired must meet the expectations of Agilent and/or their loss prevention engineering firm. This process must also meet the minimum requirements of any applicable laws and regulations of any governmental entity or sovereign authority.</w:t>
      </w:r>
    </w:p>
    <w:p w14:paraId="53A3C225" w14:textId="77777777" w:rsidR="005C16F2" w:rsidRDefault="005C16F2" w:rsidP="005C16F2">
      <w:pPr>
        <w:pStyle w:val="subheading2"/>
        <w:ind w:left="1440" w:firstLine="0"/>
        <w:rPr>
          <w:rFonts w:ascii="ITCCenturyBookT" w:hAnsi="ITCCenturyBookT"/>
          <w:b w:val="0"/>
          <w:color w:val="000000"/>
          <w:sz w:val="22"/>
        </w:rPr>
      </w:pPr>
    </w:p>
    <w:p w14:paraId="4C5BE739" w14:textId="77777777" w:rsidR="005C16F2" w:rsidRDefault="005C16F2" w:rsidP="005C16F2">
      <w:pPr>
        <w:pStyle w:val="bodytext20"/>
        <w:ind w:left="1440" w:firstLine="0"/>
        <w:rPr>
          <w:b/>
          <w:color w:val="000000"/>
        </w:rPr>
      </w:pPr>
      <w:r>
        <w:rPr>
          <w:rFonts w:ascii="ITCCenturyBookT" w:hAnsi="ITCCenturyBookT"/>
          <w:color w:val="000000"/>
          <w:sz w:val="22"/>
        </w:rPr>
        <w:t>Contractor personnel shall never operate any switch or valve used to control building services, processes or equipment unless authorized by the Agilent Project Manager/Host.</w:t>
      </w:r>
      <w:r>
        <w:rPr>
          <w:b/>
          <w:color w:val="000000"/>
        </w:rPr>
        <w:t xml:space="preserve">  </w:t>
      </w:r>
    </w:p>
    <w:p w14:paraId="7CC2511E" w14:textId="77777777" w:rsidR="005C16F2" w:rsidRDefault="005C16F2" w:rsidP="005C16F2">
      <w:pPr>
        <w:pStyle w:val="subheading1"/>
        <w:numPr>
          <w:ilvl w:val="0"/>
          <w:numId w:val="0"/>
        </w:numPr>
        <w:ind w:left="720"/>
      </w:pPr>
    </w:p>
    <w:p w14:paraId="45AEDCD1" w14:textId="77777777" w:rsidR="005C16F2" w:rsidRDefault="005C16F2" w:rsidP="005C16F2">
      <w:pPr>
        <w:pStyle w:val="subheading1"/>
        <w:numPr>
          <w:ilvl w:val="1"/>
          <w:numId w:val="1"/>
        </w:numPr>
        <w:rPr>
          <w:snapToGrid w:val="0"/>
        </w:rPr>
      </w:pPr>
      <w:r>
        <w:t>Overhead work</w:t>
      </w:r>
    </w:p>
    <w:p w14:paraId="605A0D93"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Overhead work above another person is strictly prohibited.  An “exclusion zone” with a safe radius must be cordoned off with warning tape and warning signs below overhead work areas.  Additional precautions must be taken to prevent damage from falling tools when overhead work must occur above equipment or production lines.</w:t>
      </w:r>
    </w:p>
    <w:p w14:paraId="79C79D76" w14:textId="77777777" w:rsidR="005C16F2" w:rsidRDefault="005C16F2" w:rsidP="005C16F2">
      <w:pPr>
        <w:pStyle w:val="subheading1"/>
        <w:numPr>
          <w:ilvl w:val="0"/>
          <w:numId w:val="0"/>
        </w:numPr>
        <w:ind w:left="720"/>
      </w:pPr>
    </w:p>
    <w:p w14:paraId="79F0A8A2" w14:textId="77777777" w:rsidR="005C16F2" w:rsidRDefault="005C16F2" w:rsidP="005C16F2">
      <w:pPr>
        <w:pStyle w:val="subheading1"/>
        <w:numPr>
          <w:ilvl w:val="1"/>
          <w:numId w:val="1"/>
        </w:numPr>
      </w:pPr>
      <w:r>
        <w:t>Structural Supports</w:t>
      </w:r>
    </w:p>
    <w:p w14:paraId="208236EE"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 xml:space="preserve">Approval from the Agilent Project Manager/Host must be received before drilling or cutting into building structural components. </w:t>
      </w:r>
    </w:p>
    <w:p w14:paraId="3E82077A" w14:textId="77777777" w:rsidR="005C16F2" w:rsidRDefault="005C16F2" w:rsidP="005C16F2">
      <w:pPr>
        <w:pStyle w:val="subheading2"/>
        <w:ind w:left="1440" w:firstLine="0"/>
        <w:rPr>
          <w:b w:val="0"/>
          <w:color w:val="000000"/>
        </w:rPr>
      </w:pPr>
    </w:p>
    <w:p w14:paraId="1D65A3F2" w14:textId="77777777" w:rsidR="005C16F2" w:rsidRDefault="005C16F2" w:rsidP="005C16F2">
      <w:pPr>
        <w:pStyle w:val="subheading1"/>
        <w:numPr>
          <w:ilvl w:val="1"/>
          <w:numId w:val="1"/>
        </w:numPr>
      </w:pPr>
      <w:r>
        <w:t>Noise</w:t>
      </w:r>
    </w:p>
    <w:p w14:paraId="5F4F3F79"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 xml:space="preserve">Activities involving equipment and tools that produce high noise levels (75 dBA or over) should be avoided in occupied areas during working hours.  Short duration activities (less than 15 minutes) may be performed with permission of the Agilent Project Manager/Host. </w:t>
      </w:r>
    </w:p>
    <w:p w14:paraId="7E42E683" w14:textId="77777777" w:rsidR="005C16F2" w:rsidRDefault="005C16F2" w:rsidP="005C16F2">
      <w:pPr>
        <w:pStyle w:val="subheading2"/>
        <w:ind w:left="1440" w:firstLine="0"/>
        <w:rPr>
          <w:b w:val="0"/>
          <w:color w:val="000000"/>
        </w:rPr>
      </w:pPr>
    </w:p>
    <w:p w14:paraId="67921C75" w14:textId="77777777" w:rsidR="005C16F2" w:rsidRDefault="005C16F2" w:rsidP="005C16F2">
      <w:pPr>
        <w:pStyle w:val="subheading1"/>
        <w:numPr>
          <w:ilvl w:val="1"/>
          <w:numId w:val="1"/>
        </w:numPr>
      </w:pPr>
      <w:r>
        <w:t>Powder Actuated / Cordite Cartridge Tools</w:t>
      </w:r>
    </w:p>
    <w:p w14:paraId="6B5AB1DB" w14:textId="77777777" w:rsidR="005C16F2" w:rsidRDefault="005C16F2" w:rsidP="005C16F2">
      <w:pPr>
        <w:pStyle w:val="bodytext20"/>
        <w:ind w:left="1440" w:firstLine="0"/>
        <w:rPr>
          <w:rFonts w:ascii="ITCCenturyBookT" w:hAnsi="ITCCenturyBookT"/>
          <w:color w:val="000000"/>
          <w:sz w:val="22"/>
        </w:rPr>
      </w:pPr>
      <w:r>
        <w:rPr>
          <w:rFonts w:ascii="ITCCenturyBookT" w:hAnsi="ITCCenturyBookT"/>
          <w:color w:val="000000"/>
          <w:sz w:val="22"/>
        </w:rPr>
        <w:t xml:space="preserve">The use of powder-actuated/cordite cartridge tools is prohibited in Agilent buildings.  The Agilent Project Manager/Host and EHS Staff may give approval for the use of such tools in </w:t>
      </w:r>
      <w:r>
        <w:rPr>
          <w:rFonts w:ascii="ITCCenturyBookT" w:hAnsi="ITCCenturyBookT"/>
          <w:color w:val="000000"/>
          <w:sz w:val="22"/>
        </w:rPr>
        <w:lastRenderedPageBreak/>
        <w:t xml:space="preserve">special cases.  All uses of powder actuated/cordite cartridge tools must comply with applicable regulations.  </w:t>
      </w:r>
    </w:p>
    <w:p w14:paraId="11661A58" w14:textId="77777777" w:rsidR="005C16F2" w:rsidRDefault="005C16F2" w:rsidP="005C16F2">
      <w:pPr>
        <w:pStyle w:val="subheading2"/>
        <w:ind w:left="1440" w:firstLine="0"/>
        <w:rPr>
          <w:b w:val="0"/>
          <w:color w:val="000000"/>
        </w:rPr>
      </w:pPr>
    </w:p>
    <w:p w14:paraId="150D5825" w14:textId="77777777" w:rsidR="005C16F2" w:rsidRPr="005777D6" w:rsidRDefault="005C16F2" w:rsidP="005C16F2">
      <w:pPr>
        <w:pStyle w:val="subheading1"/>
        <w:numPr>
          <w:ilvl w:val="1"/>
          <w:numId w:val="1"/>
        </w:numPr>
      </w:pPr>
      <w:r>
        <w:t>Crane, Helicopter, and Hoist Lifts</w:t>
      </w:r>
      <w:r>
        <w:rPr>
          <w:rStyle w:val="FootnoteReference"/>
        </w:rPr>
        <w:footnoteReference w:customMarkFollows="1" w:id="9"/>
        <w:t>1</w:t>
      </w:r>
      <w:r>
        <w:br/>
      </w:r>
      <w:r w:rsidRPr="00E73292">
        <w:rPr>
          <w:rFonts w:ascii="ITCCenturyBookT" w:hAnsi="ITCCenturyBookT"/>
          <w:b w:val="0"/>
          <w:color w:val="000000"/>
          <w:sz w:val="22"/>
        </w:rPr>
        <w:t>Crane and helicopter lifts require a “Crane Lift Permit” and appropriate pre-planning with the Agilent Project Manager/Host.</w:t>
      </w:r>
    </w:p>
    <w:p w14:paraId="3BFB436E" w14:textId="77777777" w:rsidR="005C16F2" w:rsidRDefault="005C16F2" w:rsidP="005C16F2">
      <w:pPr>
        <w:pStyle w:val="subheading1"/>
        <w:numPr>
          <w:ilvl w:val="0"/>
          <w:numId w:val="0"/>
        </w:numPr>
        <w:ind w:left="720"/>
      </w:pPr>
      <w:r>
        <w:rPr>
          <w:rFonts w:ascii="ITCCenturyBookT" w:hAnsi="ITCCenturyBookT"/>
          <w:b w:val="0"/>
          <w:color w:val="000000"/>
          <w:sz w:val="22"/>
        </w:rPr>
        <w:t xml:space="preserve">  </w:t>
      </w:r>
    </w:p>
    <w:p w14:paraId="3156B172" w14:textId="77777777" w:rsidR="005C16F2" w:rsidRDefault="005C16F2" w:rsidP="005C16F2">
      <w:pPr>
        <w:pStyle w:val="subheading1"/>
        <w:numPr>
          <w:ilvl w:val="1"/>
          <w:numId w:val="1"/>
        </w:numPr>
      </w:pPr>
      <w:r>
        <w:t>Working Alone</w:t>
      </w:r>
    </w:p>
    <w:p w14:paraId="65E23E20" w14:textId="77777777" w:rsidR="005C16F2" w:rsidRDefault="005C16F2" w:rsidP="005C16F2">
      <w:pPr>
        <w:keepLines/>
        <w:widowControl w:val="0"/>
        <w:spacing w:after="120"/>
        <w:ind w:left="1440"/>
      </w:pPr>
      <w:r>
        <w:rPr>
          <w:rFonts w:ascii="ITCCenturyBookT" w:hAnsi="ITCCenturyBookT"/>
          <w:sz w:val="22"/>
          <w:szCs w:val="22"/>
        </w:rPr>
        <w:t>P</w:t>
      </w:r>
      <w:r w:rsidRPr="00E73292">
        <w:rPr>
          <w:rFonts w:ascii="ITCCenturyBookT" w:hAnsi="ITCCenturyBookT"/>
          <w:sz w:val="22"/>
          <w:szCs w:val="22"/>
        </w:rPr>
        <w:t>ersonnel working in potentially hazardous locations</w:t>
      </w:r>
      <w:r>
        <w:rPr>
          <w:rFonts w:ascii="ITCCenturyBookT" w:hAnsi="ITCCenturyBookT"/>
          <w:sz w:val="22"/>
          <w:szCs w:val="22"/>
        </w:rPr>
        <w:t xml:space="preserve"> should have</w:t>
      </w:r>
      <w:r w:rsidRPr="00E73292">
        <w:rPr>
          <w:rFonts w:ascii="ITCCenturyBookT" w:hAnsi="ITCCenturyBookT"/>
          <w:sz w:val="22"/>
          <w:szCs w:val="22"/>
        </w:rPr>
        <w:t xml:space="preserve"> at least one other person present at all times, </w:t>
      </w:r>
      <w:r>
        <w:rPr>
          <w:rFonts w:ascii="ITCCenturyBookT" w:hAnsi="ITCCenturyBookT"/>
          <w:sz w:val="22"/>
          <w:szCs w:val="22"/>
        </w:rPr>
        <w:t>or be under continuous surveillance by a responsible person, as consistent with local regulations and the contractor’s internal requirements.</w:t>
      </w:r>
      <w:r w:rsidRPr="00E73292">
        <w:rPr>
          <w:rFonts w:ascii="ITCCenturyBookT" w:hAnsi="ITCCenturyBookT"/>
          <w:sz w:val="22"/>
          <w:szCs w:val="22"/>
        </w:rPr>
        <w:br/>
      </w:r>
      <w:r>
        <w:tab/>
      </w:r>
    </w:p>
    <w:p w14:paraId="3376380E" w14:textId="77777777" w:rsidR="005C16F2" w:rsidRDefault="005C16F2" w:rsidP="005C16F2">
      <w:pPr>
        <w:pStyle w:val="heading2"/>
        <w:numPr>
          <w:ilvl w:val="0"/>
          <w:numId w:val="1"/>
        </w:numPr>
        <w:rPr>
          <w:caps/>
        </w:rPr>
      </w:pPr>
      <w:r>
        <w:rPr>
          <w:caps/>
        </w:rPr>
        <w:t>Document Control Log</w:t>
      </w:r>
    </w:p>
    <w:p w14:paraId="5951302D" w14:textId="77777777" w:rsidR="005C16F2" w:rsidRDefault="005C16F2" w:rsidP="005C16F2">
      <w:pPr>
        <w:pStyle w:val="SectionTitle"/>
        <w:spacing w:before="0"/>
        <w:rPr>
          <w:rFonts w:ascii="Univers Condensed" w:hAnsi="Univers Condensed"/>
          <w:sz w:val="24"/>
          <w:szCs w:val="24"/>
        </w:rPr>
      </w:pPr>
    </w:p>
    <w:p w14:paraId="1AB205F1" w14:textId="77777777" w:rsidR="005C16F2" w:rsidRPr="007242C1" w:rsidRDefault="005C16F2" w:rsidP="005C16F2">
      <w:pPr>
        <w:pStyle w:val="SectionTitle"/>
        <w:spacing w:before="0" w:after="120"/>
        <w:rPr>
          <w:rFonts w:ascii="Univers Condensed" w:hAnsi="Univers Condensed"/>
          <w:sz w:val="24"/>
          <w:szCs w:val="24"/>
        </w:rPr>
      </w:pPr>
      <w:r w:rsidRPr="007242C1">
        <w:rPr>
          <w:rFonts w:ascii="Univers Condensed" w:hAnsi="Univers Condensed"/>
          <w:sz w:val="24"/>
          <w:szCs w:val="24"/>
        </w:rPr>
        <w:t>Document Control and Approval</w:t>
      </w:r>
    </w:p>
    <w:p w14:paraId="3A9AAEFD" w14:textId="2F06AFC3" w:rsidR="005C16F2" w:rsidRPr="00FB29D7" w:rsidRDefault="005C16F2" w:rsidP="005C16F2">
      <w:pPr>
        <w:pStyle w:val="BodyText"/>
        <w:rPr>
          <w:rFonts w:ascii="ITCCenturyBookT" w:hAnsi="ITCCenturyBookT"/>
          <w:sz w:val="22"/>
        </w:rPr>
      </w:pPr>
      <w:r w:rsidRPr="00C27808">
        <w:rPr>
          <w:rStyle w:val="xxsmall"/>
          <w:rFonts w:ascii="ITCCenturyBookT" w:hAnsi="ITCCenturyBookT"/>
          <w:sz w:val="22"/>
        </w:rPr>
        <w:t xml:space="preserve">Versions of this document prior to its import into </w:t>
      </w:r>
      <w:r>
        <w:rPr>
          <w:rStyle w:val="xxsmall"/>
          <w:rFonts w:ascii="ITCCenturyBookT" w:hAnsi="ITCCenturyBookT"/>
          <w:sz w:val="22"/>
        </w:rPr>
        <w:t>ShareDoc</w:t>
      </w:r>
      <w:r w:rsidRPr="00C27808">
        <w:rPr>
          <w:rStyle w:val="xxsmall"/>
          <w:rFonts w:ascii="ITCCenturyBookT" w:hAnsi="ITCCenturyBookT"/>
          <w:sz w:val="22"/>
        </w:rPr>
        <w:t xml:space="preserve"> are considered obsolete versions.  </w:t>
      </w:r>
      <w:r w:rsidR="009626ED">
        <w:rPr>
          <w:rStyle w:val="xxsmall"/>
          <w:rFonts w:ascii="ITCCenturyBookT" w:hAnsi="ITCCenturyBookT"/>
          <w:sz w:val="22"/>
        </w:rPr>
        <w:t>R</w:t>
      </w:r>
      <w:r>
        <w:rPr>
          <w:rStyle w:val="xxsmall"/>
          <w:rFonts w:ascii="ITCCenturyBookT" w:hAnsi="ITCCenturyBookT"/>
          <w:sz w:val="22"/>
        </w:rPr>
        <w:t>evision history and document ownership information</w:t>
      </w:r>
      <w:r w:rsidR="009626ED">
        <w:rPr>
          <w:rStyle w:val="xxsmall"/>
          <w:rFonts w:ascii="ITCCenturyBookT" w:hAnsi="ITCCenturyBookT"/>
          <w:sz w:val="22"/>
        </w:rPr>
        <w:t xml:space="preserve"> is available in ShareDoc</w:t>
      </w:r>
      <w:bookmarkStart w:id="1" w:name="A0001"/>
      <w:bookmarkEnd w:id="1"/>
      <w:r w:rsidR="009626ED">
        <w:rPr>
          <w:rStyle w:val="xxsmall"/>
          <w:rFonts w:ascii="ITCCenturyBookT" w:hAnsi="ITCCenturyBookT"/>
          <w:sz w:val="22"/>
        </w:rPr>
        <w:t>.</w:t>
      </w:r>
    </w:p>
    <w:p w14:paraId="5B3801D7" w14:textId="77777777" w:rsidR="005C16F2" w:rsidRDefault="005C16F2" w:rsidP="005C16F2">
      <w:pPr>
        <w:spacing w:after="120"/>
        <w:rPr>
          <w:rFonts w:ascii="Univers Condensed" w:hAnsi="Univers Condensed"/>
          <w:b/>
          <w:bCs/>
          <w:caps/>
          <w:sz w:val="28"/>
        </w:rPr>
      </w:pPr>
      <w:r>
        <w:br w:type="page"/>
      </w:r>
      <w:r>
        <w:rPr>
          <w:rFonts w:ascii="Univers Condensed" w:hAnsi="Univers Condensed"/>
          <w:b/>
          <w:bCs/>
          <w:caps/>
          <w:sz w:val="28"/>
        </w:rPr>
        <w:lastRenderedPageBreak/>
        <w:t>Appendix A</w:t>
      </w:r>
    </w:p>
    <w:p w14:paraId="0EAB7E75" w14:textId="77777777" w:rsidR="005C16F2" w:rsidRDefault="005C16F2" w:rsidP="005C16F2">
      <w:pPr>
        <w:spacing w:after="120"/>
        <w:jc w:val="center"/>
      </w:pPr>
      <w:r>
        <w:rPr>
          <w:rFonts w:ascii="Univers Condensed" w:hAnsi="Univers Condensed"/>
          <w:b/>
          <w:bCs/>
          <w:caps/>
          <w:sz w:val="28"/>
        </w:rPr>
        <w:t>Restricted Chemicals</w:t>
      </w:r>
    </w:p>
    <w:p w14:paraId="641F10D0" w14:textId="77777777" w:rsidR="005C16F2" w:rsidRDefault="005C16F2" w:rsidP="005C16F2">
      <w:pPr>
        <w:spacing w:after="120"/>
        <w:rPr>
          <w:rFonts w:ascii="Univers Condensed" w:hAnsi="Univers Condensed"/>
          <w:b/>
          <w:color w:val="000000"/>
          <w:sz w:val="24"/>
          <w:szCs w:val="24"/>
        </w:rPr>
      </w:pPr>
      <w:r>
        <w:rPr>
          <w:rFonts w:ascii="ITCCenturyBookT" w:hAnsi="ITCCenturyBookT"/>
          <w:sz w:val="22"/>
        </w:rPr>
        <w:t xml:space="preserve">Certain chemicals are restricted from use within Agilent because of their potential adverse effects and the commercial availability of viable substitutes.  Agilent’s position on these chemicals is summarized in Agilent’s EHS Position Statement: </w:t>
      </w:r>
      <w:hyperlink r:id="rId15" w:history="1">
        <w:r w:rsidRPr="00932209">
          <w:rPr>
            <w:rStyle w:val="Hyperlink"/>
            <w:rFonts w:ascii="ITCCenturyBookT" w:hAnsi="ITCCenturyBookT"/>
            <w:sz w:val="22"/>
          </w:rPr>
          <w:t>Restricted Chemicals</w:t>
        </w:r>
      </w:hyperlink>
      <w:r>
        <w:rPr>
          <w:rFonts w:ascii="ITCCenturyBookT" w:hAnsi="ITCCenturyBookT"/>
          <w:sz w:val="22"/>
        </w:rPr>
        <w:t>.</w:t>
      </w:r>
      <w:bookmarkStart w:id="2" w:name="_Toc477139237"/>
      <w:r>
        <w:rPr>
          <w:rFonts w:ascii="ITCCenturyBookT" w:hAnsi="ITCCenturyBookT"/>
          <w:sz w:val="22"/>
        </w:rPr>
        <w:br/>
      </w:r>
      <w:r>
        <w:rPr>
          <w:rFonts w:ascii="ITCCenturyBookT" w:hAnsi="ITCCenturyBookT"/>
          <w:sz w:val="22"/>
        </w:rPr>
        <w:br/>
      </w:r>
      <w:r w:rsidRPr="00612DCA">
        <w:rPr>
          <w:rFonts w:ascii="Univers Condensed" w:hAnsi="Univers Condensed"/>
          <w:b/>
          <w:color w:val="000000"/>
          <w:sz w:val="24"/>
          <w:szCs w:val="24"/>
        </w:rPr>
        <w:t>Asbestos</w:t>
      </w:r>
    </w:p>
    <w:p w14:paraId="16D4F240" w14:textId="77777777" w:rsidR="005C16F2" w:rsidRDefault="005C16F2" w:rsidP="005C16F2">
      <w:pPr>
        <w:spacing w:after="60"/>
        <w:rPr>
          <w:rFonts w:ascii="ITCCenturyBookT" w:hAnsi="ITCCenturyBookT"/>
          <w:color w:val="000000"/>
          <w:sz w:val="22"/>
        </w:rPr>
      </w:pPr>
      <w:r>
        <w:rPr>
          <w:rFonts w:ascii="ITCCenturyBookT" w:hAnsi="ITCCenturyBookT"/>
          <w:color w:val="000000"/>
          <w:sz w:val="22"/>
        </w:rPr>
        <w:t>Asbestos is a known human carcinogen that has viable substitutes for all construction applications.  Asbestos-containing material is not allowed in any new construction or for use in building modifications and repairs within Agilent.</w:t>
      </w:r>
    </w:p>
    <w:p w14:paraId="025E504E" w14:textId="77777777" w:rsidR="005C16F2" w:rsidRDefault="005C16F2" w:rsidP="005C16F2">
      <w:pPr>
        <w:widowControl w:val="0"/>
        <w:numPr>
          <w:ilvl w:val="0"/>
          <w:numId w:val="10"/>
        </w:numPr>
        <w:tabs>
          <w:tab w:val="clear" w:pos="360"/>
          <w:tab w:val="num" w:pos="720"/>
        </w:tabs>
        <w:spacing w:after="120"/>
        <w:ind w:left="720"/>
        <w:rPr>
          <w:rFonts w:ascii="ITCCenturyBookT" w:hAnsi="ITCCenturyBookT"/>
          <w:color w:val="000000"/>
          <w:sz w:val="22"/>
        </w:rPr>
      </w:pPr>
      <w:r>
        <w:rPr>
          <w:rFonts w:ascii="ITCCenturyBookT" w:hAnsi="ITCCenturyBookT"/>
          <w:color w:val="000000"/>
          <w:sz w:val="22"/>
        </w:rPr>
        <w:t>Asbestos (CAS# 1332-21-4), also known as actinolite, amianthus, amosite, amphibole, anthophyllite, chrysotile, crocidolite, and tremolite.</w:t>
      </w:r>
    </w:p>
    <w:p w14:paraId="773B65A6" w14:textId="77777777" w:rsidR="005C16F2" w:rsidRDefault="005C16F2" w:rsidP="005C16F2">
      <w:pPr>
        <w:tabs>
          <w:tab w:val="left" w:pos="0"/>
        </w:tabs>
        <w:rPr>
          <w:rFonts w:ascii="ITCCenturyBookT" w:hAnsi="ITCCenturyBookT"/>
          <w:color w:val="000000"/>
          <w:sz w:val="22"/>
        </w:rPr>
      </w:pPr>
      <w:r>
        <w:rPr>
          <w:rFonts w:ascii="ITCCenturyBookT" w:hAnsi="ITCCenturyBookT"/>
          <w:color w:val="000000"/>
          <w:sz w:val="22"/>
        </w:rPr>
        <w:t xml:space="preserve">The prohibition against using asbestos-containing material in new construction or for building modifications and repairs is contained in Agilent EHS Standard </w:t>
      </w:r>
      <w:hyperlink r:id="rId16" w:history="1">
        <w:r>
          <w:rPr>
            <w:rStyle w:val="Hyperlink"/>
            <w:rFonts w:ascii="ITCCenturyBookT" w:hAnsi="ITCCenturyBookT"/>
            <w:sz w:val="22"/>
          </w:rPr>
          <w:t>Indust</w:t>
        </w:r>
        <w:bookmarkStart w:id="3" w:name="_Hlt517148547"/>
        <w:r>
          <w:rPr>
            <w:rStyle w:val="Hyperlink"/>
            <w:rFonts w:ascii="ITCCenturyBookT" w:hAnsi="ITCCenturyBookT"/>
            <w:sz w:val="22"/>
          </w:rPr>
          <w:t>r</w:t>
        </w:r>
        <w:bookmarkStart w:id="4" w:name="_Hlt504527667"/>
        <w:bookmarkEnd w:id="3"/>
        <w:r>
          <w:rPr>
            <w:rStyle w:val="Hyperlink"/>
            <w:rFonts w:ascii="ITCCenturyBookT" w:hAnsi="ITCCenturyBookT"/>
            <w:sz w:val="22"/>
          </w:rPr>
          <w:t>i</w:t>
        </w:r>
        <w:bookmarkEnd w:id="4"/>
        <w:r>
          <w:rPr>
            <w:rStyle w:val="Hyperlink"/>
            <w:rFonts w:ascii="ITCCenturyBookT" w:hAnsi="ITCCenturyBookT"/>
            <w:sz w:val="22"/>
          </w:rPr>
          <w:t>al Hy</w:t>
        </w:r>
        <w:bookmarkStart w:id="5" w:name="_Hlt517148471"/>
        <w:r>
          <w:rPr>
            <w:rStyle w:val="Hyperlink"/>
            <w:rFonts w:ascii="ITCCenturyBookT" w:hAnsi="ITCCenturyBookT"/>
            <w:sz w:val="22"/>
          </w:rPr>
          <w:t>g</w:t>
        </w:r>
        <w:bookmarkEnd w:id="5"/>
        <w:r>
          <w:rPr>
            <w:rStyle w:val="Hyperlink"/>
            <w:rFonts w:ascii="ITCCenturyBookT" w:hAnsi="ITCCenturyBookT"/>
            <w:sz w:val="22"/>
          </w:rPr>
          <w:t>iene</w:t>
        </w:r>
      </w:hyperlink>
      <w:r>
        <w:rPr>
          <w:rFonts w:ascii="ITCCenturyBookT" w:hAnsi="ITCCenturyBookT"/>
          <w:color w:val="000000"/>
          <w:sz w:val="22"/>
        </w:rPr>
        <w:t>, Section 4.3.7 a).</w:t>
      </w:r>
    </w:p>
    <w:p w14:paraId="3CB77CAE" w14:textId="77777777" w:rsidR="005C16F2" w:rsidRDefault="005C16F2" w:rsidP="005C16F2">
      <w:pPr>
        <w:rPr>
          <w:rFonts w:ascii="Univers Condensed" w:hAnsi="Univers Condensed"/>
          <w:b/>
          <w:color w:val="000000"/>
          <w:sz w:val="24"/>
          <w:szCs w:val="24"/>
        </w:rPr>
      </w:pPr>
    </w:p>
    <w:p w14:paraId="6636F4DA" w14:textId="77777777" w:rsidR="005C16F2" w:rsidRDefault="005C16F2" w:rsidP="005C16F2">
      <w:pPr>
        <w:spacing w:after="120"/>
        <w:rPr>
          <w:rFonts w:ascii="Univers Condensed" w:hAnsi="Univers Condensed"/>
          <w:b/>
          <w:color w:val="000000"/>
          <w:sz w:val="24"/>
          <w:szCs w:val="24"/>
        </w:rPr>
      </w:pPr>
      <w:r w:rsidRPr="00612DCA">
        <w:rPr>
          <w:rFonts w:ascii="Univers Condensed" w:hAnsi="Univers Condensed"/>
          <w:b/>
          <w:color w:val="000000"/>
          <w:sz w:val="24"/>
          <w:szCs w:val="24"/>
        </w:rPr>
        <w:t>Ozone Depleting Substances</w:t>
      </w:r>
    </w:p>
    <w:p w14:paraId="655C40A3" w14:textId="77777777" w:rsidR="005C16F2" w:rsidRDefault="005C16F2" w:rsidP="005C16F2">
      <w:r w:rsidRPr="00293E84">
        <w:rPr>
          <w:rFonts w:ascii="ITCCenturyBookT" w:hAnsi="ITCCenturyBookT"/>
          <w:sz w:val="22"/>
          <w:szCs w:val="22"/>
        </w:rPr>
        <w:t xml:space="preserve">Various chlorofluorocarbons (CFCs) and hydrochlorofluorocarbons (HCFCs) are associated with a decrease in the earth’s ozone layer.  Collectively these compounds are referred to as Ozone Depleting Substances (ODSs).  The prohibition against using ODSs in manufacturing and details on Agilent’s phase out of ODSs is contained in </w:t>
      </w:r>
      <w:r w:rsidRPr="00293E84">
        <w:rPr>
          <w:rFonts w:ascii="ITCCenturyBookT" w:hAnsi="ITCCenturyBookT"/>
          <w:color w:val="000000"/>
          <w:sz w:val="22"/>
          <w:szCs w:val="22"/>
        </w:rPr>
        <w:t xml:space="preserve">Agilent EHS Position Statement – </w:t>
      </w:r>
      <w:hyperlink r:id="rId17" w:history="1">
        <w:r w:rsidRPr="00293E84">
          <w:rPr>
            <w:rStyle w:val="Hyperlink"/>
            <w:rFonts w:ascii="ITCCenturyBookT" w:hAnsi="ITCCenturyBookT"/>
            <w:sz w:val="22"/>
            <w:szCs w:val="22"/>
          </w:rPr>
          <w:t>ODS Elimination</w:t>
        </w:r>
      </w:hyperlink>
      <w:r w:rsidRPr="00293E84">
        <w:rPr>
          <w:rFonts w:ascii="ITCCenturyBookT" w:hAnsi="ITCCenturyBookT"/>
          <w:color w:val="000000"/>
          <w:sz w:val="22"/>
          <w:szCs w:val="22"/>
        </w:rPr>
        <w:t>.</w:t>
      </w:r>
      <w:r w:rsidRPr="00293E84">
        <w:rPr>
          <w:rFonts w:ascii="ITCCenturyBookT" w:hAnsi="ITCCenturyBookT"/>
          <w:color w:val="000000"/>
          <w:sz w:val="22"/>
          <w:szCs w:val="22"/>
        </w:rPr>
        <w:br/>
      </w:r>
    </w:p>
    <w:p w14:paraId="1F288735" w14:textId="77777777" w:rsidR="005C16F2" w:rsidRDefault="005C16F2" w:rsidP="005C16F2">
      <w:pPr>
        <w:spacing w:after="120"/>
        <w:rPr>
          <w:rFonts w:ascii="Univers Condensed" w:hAnsi="Univers Condensed"/>
          <w:b/>
          <w:color w:val="000000"/>
          <w:sz w:val="24"/>
          <w:szCs w:val="24"/>
        </w:rPr>
      </w:pPr>
      <w:r w:rsidRPr="00612DCA">
        <w:rPr>
          <w:rFonts w:ascii="Univers Condensed" w:hAnsi="Univers Condensed"/>
          <w:b/>
          <w:color w:val="000000"/>
          <w:sz w:val="24"/>
          <w:szCs w:val="24"/>
        </w:rPr>
        <w:t>Glycol Ethers</w:t>
      </w:r>
    </w:p>
    <w:p w14:paraId="70D7B57F" w14:textId="77777777" w:rsidR="005C16F2" w:rsidRDefault="005C16F2" w:rsidP="005C16F2">
      <w:pPr>
        <w:spacing w:after="60"/>
        <w:rPr>
          <w:rFonts w:ascii="ITCCenturyBookT" w:hAnsi="ITCCenturyBookT"/>
          <w:color w:val="000000"/>
          <w:sz w:val="22"/>
        </w:rPr>
      </w:pPr>
      <w:r>
        <w:rPr>
          <w:rFonts w:ascii="ITCCenturyBookT" w:hAnsi="ITCCenturyBookT"/>
          <w:color w:val="000000"/>
          <w:sz w:val="22"/>
        </w:rPr>
        <w:t xml:space="preserve">Certain ethylene-based glycol ethers and their acetates were associated with miscarriages in a study of the semiconductor industry.  Because of this association Agilent and other major electronics companies have banned or restricted their use.  Except for use as analytical check standards, the following five compounds are banned from use within Agilent:  </w:t>
      </w:r>
    </w:p>
    <w:p w14:paraId="1E5AC0A6" w14:textId="77777777" w:rsidR="005C16F2" w:rsidRDefault="005C16F2" w:rsidP="005C16F2">
      <w:pPr>
        <w:widowControl w:val="0"/>
        <w:numPr>
          <w:ilvl w:val="0"/>
          <w:numId w:val="25"/>
        </w:numPr>
        <w:spacing w:after="60"/>
        <w:ind w:right="18"/>
        <w:rPr>
          <w:rFonts w:ascii="ITCCenturyBookT" w:hAnsi="ITCCenturyBookT"/>
          <w:color w:val="000000"/>
          <w:sz w:val="22"/>
        </w:rPr>
      </w:pPr>
      <w:r>
        <w:rPr>
          <w:rFonts w:ascii="ITCCenturyBookT" w:hAnsi="ITCCenturyBookT"/>
          <w:color w:val="000000"/>
          <w:sz w:val="22"/>
        </w:rPr>
        <w:t xml:space="preserve">2-Methoxyethanol (CAS# 109-86-4)   </w:t>
      </w:r>
    </w:p>
    <w:p w14:paraId="1A9D6F5B" w14:textId="77777777" w:rsidR="005C16F2" w:rsidRDefault="005C16F2" w:rsidP="005C16F2">
      <w:pPr>
        <w:widowControl w:val="0"/>
        <w:numPr>
          <w:ilvl w:val="0"/>
          <w:numId w:val="25"/>
        </w:numPr>
        <w:spacing w:after="60"/>
        <w:rPr>
          <w:rFonts w:ascii="ITCCenturyBookT" w:hAnsi="ITCCenturyBookT"/>
          <w:color w:val="000000"/>
          <w:sz w:val="22"/>
        </w:rPr>
      </w:pPr>
      <w:r>
        <w:rPr>
          <w:rFonts w:ascii="ITCCenturyBookT" w:hAnsi="ITCCenturyBookT"/>
          <w:color w:val="000000"/>
          <w:sz w:val="22"/>
        </w:rPr>
        <w:t>2-Methoxyethyl acetate (CAS# 110-49-6)</w:t>
      </w:r>
    </w:p>
    <w:p w14:paraId="24C5C1BD" w14:textId="77777777" w:rsidR="005C16F2" w:rsidRDefault="005C16F2" w:rsidP="005C16F2">
      <w:pPr>
        <w:widowControl w:val="0"/>
        <w:numPr>
          <w:ilvl w:val="0"/>
          <w:numId w:val="25"/>
        </w:numPr>
        <w:spacing w:after="60"/>
        <w:rPr>
          <w:rFonts w:ascii="ITCCenturyBookT" w:hAnsi="ITCCenturyBookT"/>
          <w:color w:val="000000"/>
          <w:sz w:val="22"/>
        </w:rPr>
      </w:pPr>
      <w:r>
        <w:rPr>
          <w:rFonts w:ascii="ITCCenturyBookT" w:hAnsi="ITCCenturyBookT"/>
          <w:color w:val="000000"/>
          <w:sz w:val="22"/>
        </w:rPr>
        <w:t xml:space="preserve">2-Ethoxyethyl acetate (CAS# 111-15-9) </w:t>
      </w:r>
    </w:p>
    <w:p w14:paraId="51A634AB" w14:textId="77777777" w:rsidR="005C16F2" w:rsidRDefault="005C16F2" w:rsidP="005C16F2">
      <w:pPr>
        <w:widowControl w:val="0"/>
        <w:numPr>
          <w:ilvl w:val="0"/>
          <w:numId w:val="25"/>
        </w:numPr>
        <w:spacing w:after="60"/>
        <w:rPr>
          <w:rFonts w:ascii="ITCCenturyBookT" w:hAnsi="ITCCenturyBookT"/>
          <w:color w:val="000000"/>
          <w:sz w:val="22"/>
        </w:rPr>
      </w:pPr>
      <w:r>
        <w:rPr>
          <w:rFonts w:ascii="ITCCenturyBookT" w:hAnsi="ITCCenturyBookT"/>
          <w:color w:val="000000"/>
          <w:sz w:val="22"/>
        </w:rPr>
        <w:t xml:space="preserve">2-Ethoxyethanol (CAS# 110-80-5) </w:t>
      </w:r>
    </w:p>
    <w:p w14:paraId="703F691F" w14:textId="77777777" w:rsidR="005C16F2" w:rsidRDefault="005C16F2" w:rsidP="005C16F2">
      <w:pPr>
        <w:widowControl w:val="0"/>
        <w:numPr>
          <w:ilvl w:val="0"/>
          <w:numId w:val="25"/>
        </w:numPr>
        <w:spacing w:after="120"/>
        <w:rPr>
          <w:rFonts w:ascii="ITCCenturyBookT" w:hAnsi="ITCCenturyBookT"/>
          <w:color w:val="000000"/>
          <w:sz w:val="22"/>
        </w:rPr>
      </w:pPr>
      <w:r>
        <w:rPr>
          <w:rFonts w:ascii="ITCCenturyBookT" w:hAnsi="ITCCenturyBookT"/>
          <w:color w:val="000000"/>
          <w:sz w:val="22"/>
        </w:rPr>
        <w:t xml:space="preserve">Diethylene glycol dimethyl ether (CAS# 111-96-6) </w:t>
      </w:r>
    </w:p>
    <w:p w14:paraId="4BB0C4C5" w14:textId="77777777" w:rsidR="005C16F2" w:rsidRDefault="005C16F2" w:rsidP="005C16F2">
      <w:pPr>
        <w:widowControl w:val="0"/>
        <w:ind w:right="18"/>
        <w:rPr>
          <w:rFonts w:ascii="ITCCenturyBookT" w:hAnsi="ITCCenturyBookT"/>
          <w:color w:val="000000"/>
          <w:sz w:val="22"/>
        </w:rPr>
      </w:pPr>
      <w:r>
        <w:rPr>
          <w:rFonts w:ascii="ITCCenturyBookT" w:hAnsi="ITCCenturyBookT"/>
          <w:color w:val="000000"/>
          <w:sz w:val="22"/>
        </w:rPr>
        <w:t xml:space="preserve">The prohibition against using these five compounds is in Agilent EHS Position Statement – </w:t>
      </w:r>
      <w:hyperlink r:id="rId18" w:history="1">
        <w:r>
          <w:rPr>
            <w:rStyle w:val="Hyperlink"/>
            <w:rFonts w:ascii="ITCCenturyBookT" w:hAnsi="ITCCenturyBookT"/>
            <w:sz w:val="22"/>
          </w:rPr>
          <w:t>Glycol Ether Elimination</w:t>
        </w:r>
      </w:hyperlink>
      <w:r>
        <w:rPr>
          <w:rFonts w:ascii="ITCCenturyBookT" w:hAnsi="ITCCenturyBookT"/>
          <w:color w:val="000000"/>
          <w:sz w:val="22"/>
        </w:rPr>
        <w:t>.</w:t>
      </w:r>
    </w:p>
    <w:p w14:paraId="577992CE" w14:textId="77777777" w:rsidR="005C16F2" w:rsidRDefault="005C16F2" w:rsidP="005C16F2">
      <w:pPr>
        <w:rPr>
          <w:rFonts w:ascii="Univers Condensed" w:hAnsi="Univers Condensed"/>
          <w:b/>
          <w:color w:val="000000"/>
          <w:sz w:val="24"/>
          <w:szCs w:val="24"/>
        </w:rPr>
      </w:pPr>
    </w:p>
    <w:p w14:paraId="6E01CF7C" w14:textId="77777777" w:rsidR="005C16F2" w:rsidRDefault="005C16F2" w:rsidP="005C16F2">
      <w:pPr>
        <w:spacing w:after="120"/>
        <w:rPr>
          <w:rFonts w:ascii="Univers Condensed" w:hAnsi="Univers Condensed"/>
          <w:b/>
          <w:color w:val="000000"/>
          <w:sz w:val="24"/>
          <w:szCs w:val="24"/>
        </w:rPr>
      </w:pPr>
      <w:r w:rsidRPr="00612DCA">
        <w:rPr>
          <w:rFonts w:ascii="Univers Condensed" w:hAnsi="Univers Condensed"/>
          <w:b/>
          <w:color w:val="000000"/>
          <w:sz w:val="24"/>
          <w:szCs w:val="24"/>
        </w:rPr>
        <w:t>Other Potentially Hazardous Chemicals</w:t>
      </w:r>
    </w:p>
    <w:p w14:paraId="5681C267" w14:textId="77777777" w:rsidR="005C16F2" w:rsidRDefault="005C16F2" w:rsidP="005C16F2">
      <w:pPr>
        <w:rPr>
          <w:rFonts w:ascii="ITCCenturyBookT" w:hAnsi="ITCCenturyBookT"/>
          <w:sz w:val="22"/>
          <w:szCs w:val="22"/>
        </w:rPr>
      </w:pPr>
      <w:r w:rsidRPr="00293E84">
        <w:rPr>
          <w:rFonts w:ascii="ITCCenturyBookT" w:hAnsi="ITCCenturyBookT"/>
          <w:sz w:val="22"/>
          <w:szCs w:val="22"/>
        </w:rPr>
        <w:t xml:space="preserve">The company-wide list of restricted chemicals is kept to a minimum so as not to needlessly limit the technology.  However, consistent with the hierarchy of controls for mitigating risks, all Agilent entities need to aggressively eliminate or seek out viable, less hazardous substitutes for the potentially hazardous chemicals </w:t>
      </w:r>
      <w:r w:rsidRPr="00293E84">
        <w:rPr>
          <w:rFonts w:ascii="ITCCenturyBookT" w:hAnsi="ITCCenturyBookT"/>
          <w:sz w:val="22"/>
          <w:szCs w:val="22"/>
        </w:rPr>
        <w:lastRenderedPageBreak/>
        <w:t>used in their operations.  When less hazardous substitutes are not available, the volume of potentially hazardous chemicals stored and in-use needs to be kept at the lowest amount practical.</w:t>
      </w:r>
      <w:r>
        <w:rPr>
          <w:rFonts w:ascii="ITCCenturyBookT" w:hAnsi="ITCCenturyBookT"/>
          <w:sz w:val="22"/>
          <w:szCs w:val="22"/>
        </w:rPr>
        <w:br w:type="page"/>
      </w:r>
    </w:p>
    <w:bookmarkEnd w:id="2"/>
    <w:p w14:paraId="4B0BDB15" w14:textId="77777777" w:rsidR="005C16F2" w:rsidRDefault="005C16F2" w:rsidP="005C16F2">
      <w:pPr>
        <w:jc w:val="center"/>
        <w:rPr>
          <w:rFonts w:ascii="Univers Condensed" w:hAnsi="Univers Condensed"/>
          <w:b/>
          <w:bCs/>
          <w:caps/>
          <w:sz w:val="28"/>
        </w:rPr>
      </w:pPr>
      <w:r>
        <w:rPr>
          <w:rFonts w:ascii="Univers Condensed" w:hAnsi="Univers Condensed"/>
          <w:b/>
          <w:bCs/>
          <w:caps/>
          <w:sz w:val="28"/>
        </w:rPr>
        <w:lastRenderedPageBreak/>
        <w:t>Appendix B</w:t>
      </w:r>
      <w:r>
        <w:rPr>
          <w:rFonts w:ascii="Univers Condensed" w:hAnsi="Univers Condensed"/>
          <w:b/>
          <w:bCs/>
          <w:caps/>
          <w:sz w:val="28"/>
        </w:rPr>
        <w:tab/>
        <w:t>Contractor Chemical Use Form</w:t>
      </w:r>
    </w:p>
    <w:p w14:paraId="20E0A386" w14:textId="77777777" w:rsidR="005C16F2" w:rsidRDefault="005C16F2" w:rsidP="005C16F2">
      <w:pPr>
        <w:pStyle w:val="BodyText"/>
        <w:spacing w:before="60"/>
        <w:rPr>
          <w:rFonts w:ascii="Arial Narrow" w:hAnsi="Arial Narrow"/>
          <w:b/>
          <w:sz w:val="20"/>
        </w:rPr>
      </w:pPr>
      <w:r>
        <w:rPr>
          <w:rFonts w:ascii="ITCCenturyBookT" w:hAnsi="ITCCenturyBookT"/>
          <w:b/>
          <w:sz w:val="20"/>
        </w:rPr>
        <w:t xml:space="preserve">Instructions:  The Contractor shall obtain prior written EHS approval for all hazardous chemicals proposed for use, by the contract personnel and/or subcontractor personnel, at all Agilent sites. </w:t>
      </w:r>
    </w:p>
    <w:p w14:paraId="64EE1EEC" w14:textId="77777777" w:rsidR="005C16F2" w:rsidRPr="00F320DE" w:rsidRDefault="005C16F2" w:rsidP="005C16F2">
      <w:pPr>
        <w:pStyle w:val="Heading10"/>
        <w:keepNext w:val="0"/>
        <w:shd w:val="pct10" w:color="auto" w:fill="FFFFFF"/>
        <w:tabs>
          <w:tab w:val="center" w:pos="90"/>
          <w:tab w:val="center" w:pos="810"/>
        </w:tabs>
        <w:spacing w:before="120"/>
        <w:rPr>
          <w:rFonts w:ascii="Arial" w:hAnsi="Arial" w:cs="Arial"/>
          <w:b/>
          <w:sz w:val="22"/>
        </w:rPr>
      </w:pPr>
      <w:r w:rsidRPr="00F320DE">
        <w:rPr>
          <w:rFonts w:ascii="Arial" w:hAnsi="Arial" w:cs="Arial"/>
          <w:b/>
          <w:sz w:val="22"/>
        </w:rPr>
        <w:t>Contractor/User Information:</w:t>
      </w:r>
    </w:p>
    <w:tbl>
      <w:tblPr>
        <w:tblW w:w="10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0"/>
        <w:gridCol w:w="5220"/>
      </w:tblGrid>
      <w:tr w:rsidR="005C16F2" w:rsidRPr="00F320DE" w14:paraId="62874D5A" w14:textId="77777777" w:rsidTr="003B7895">
        <w:tc>
          <w:tcPr>
            <w:tcW w:w="4860" w:type="dxa"/>
          </w:tcPr>
          <w:p w14:paraId="1E253C5F" w14:textId="77777777" w:rsidR="005C16F2" w:rsidRPr="002D015E" w:rsidRDefault="005C16F2" w:rsidP="003B7895">
            <w:pPr>
              <w:tabs>
                <w:tab w:val="left" w:pos="0"/>
                <w:tab w:val="right" w:leader="dot" w:pos="5220"/>
                <w:tab w:val="left" w:pos="5310"/>
                <w:tab w:val="left" w:pos="5580"/>
                <w:tab w:val="right" w:leader="dot" w:pos="10710"/>
              </w:tabs>
              <w:spacing w:before="120"/>
              <w:rPr>
                <w:rFonts w:ascii="Arial" w:hAnsi="Arial" w:cs="Arial"/>
              </w:rPr>
            </w:pPr>
            <w:r w:rsidRPr="002D015E">
              <w:rPr>
                <w:rFonts w:ascii="Arial" w:hAnsi="Arial" w:cs="Arial"/>
              </w:rPr>
              <w:t xml:space="preserve">Contractor: </w:t>
            </w:r>
          </w:p>
        </w:tc>
        <w:tc>
          <w:tcPr>
            <w:tcW w:w="5220" w:type="dxa"/>
          </w:tcPr>
          <w:p w14:paraId="1589CCED" w14:textId="77777777" w:rsidR="005C16F2" w:rsidRPr="002D015E" w:rsidRDefault="005C16F2" w:rsidP="003B7895">
            <w:pPr>
              <w:tabs>
                <w:tab w:val="left" w:pos="0"/>
                <w:tab w:val="right" w:leader="dot" w:pos="5220"/>
                <w:tab w:val="left" w:pos="5310"/>
                <w:tab w:val="left" w:pos="5580"/>
                <w:tab w:val="right" w:leader="dot" w:pos="10710"/>
              </w:tabs>
              <w:spacing w:before="120"/>
              <w:rPr>
                <w:rFonts w:ascii="Arial" w:hAnsi="Arial" w:cs="Arial"/>
              </w:rPr>
            </w:pPr>
            <w:r w:rsidRPr="002D015E">
              <w:rPr>
                <w:rFonts w:ascii="Arial" w:hAnsi="Arial" w:cs="Arial"/>
              </w:rPr>
              <w:t xml:space="preserve">Agilent Project Manager:  </w:t>
            </w:r>
            <w:r w:rsidRPr="002D015E">
              <w:rPr>
                <w:rFonts w:ascii="Arial" w:hAnsi="Arial" w:cs="Arial"/>
              </w:rPr>
              <w:fldChar w:fldCharType="begin">
                <w:ffData>
                  <w:name w:val="Text2"/>
                  <w:enabled/>
                  <w:calcOnExit w:val="0"/>
                  <w:textInput/>
                </w:ffData>
              </w:fldChar>
            </w:r>
            <w:bookmarkStart w:id="6" w:name="Text2"/>
            <w:r w:rsidRPr="002D015E">
              <w:rPr>
                <w:rFonts w:ascii="Arial" w:hAnsi="Arial" w:cs="Arial"/>
              </w:rPr>
              <w:instrText xml:space="preserve"> FORMTEXT </w:instrText>
            </w:r>
            <w:r w:rsidRPr="002D015E">
              <w:rPr>
                <w:rFonts w:ascii="Arial" w:hAnsi="Arial" w:cs="Arial"/>
              </w:rPr>
            </w:r>
            <w:r w:rsidRPr="002D015E">
              <w:rPr>
                <w:rFonts w:ascii="Arial" w:hAnsi="Arial" w:cs="Arial"/>
              </w:rPr>
              <w:fldChar w:fldCharType="separate"/>
            </w:r>
            <w:r w:rsidRPr="002D015E">
              <w:rPr>
                <w:rFonts w:ascii="ITCCenturyBookT" w:hAnsi="ITCCenturyBookT" w:cs="Arial"/>
                <w:noProof/>
              </w:rPr>
              <w:t> </w:t>
            </w:r>
            <w:r w:rsidRPr="002D015E">
              <w:rPr>
                <w:rFonts w:ascii="ITCCenturyBookT" w:hAnsi="ITCCenturyBookT" w:cs="Arial"/>
                <w:noProof/>
              </w:rPr>
              <w:t> </w:t>
            </w:r>
            <w:r w:rsidRPr="002D015E">
              <w:rPr>
                <w:rFonts w:ascii="ITCCenturyBookT" w:hAnsi="ITCCenturyBookT" w:cs="Arial"/>
                <w:noProof/>
              </w:rPr>
              <w:t> </w:t>
            </w:r>
            <w:r w:rsidRPr="002D015E">
              <w:rPr>
                <w:rFonts w:ascii="ITCCenturyBookT" w:hAnsi="ITCCenturyBookT" w:cs="Arial"/>
                <w:noProof/>
              </w:rPr>
              <w:t> </w:t>
            </w:r>
            <w:r w:rsidRPr="002D015E">
              <w:rPr>
                <w:rFonts w:ascii="ITCCenturyBookT" w:hAnsi="ITCCenturyBookT" w:cs="Arial"/>
                <w:noProof/>
              </w:rPr>
              <w:t> </w:t>
            </w:r>
            <w:r w:rsidRPr="002D015E">
              <w:rPr>
                <w:rFonts w:ascii="Arial" w:hAnsi="Arial" w:cs="Arial"/>
              </w:rPr>
              <w:fldChar w:fldCharType="end"/>
            </w:r>
            <w:bookmarkEnd w:id="6"/>
          </w:p>
        </w:tc>
      </w:tr>
      <w:tr w:rsidR="005C16F2" w:rsidRPr="00F320DE" w14:paraId="3087B4A5" w14:textId="77777777" w:rsidTr="003B7895">
        <w:tc>
          <w:tcPr>
            <w:tcW w:w="4860" w:type="dxa"/>
          </w:tcPr>
          <w:p w14:paraId="7BAF6ACE" w14:textId="77777777" w:rsidR="005C16F2" w:rsidRPr="002D015E" w:rsidRDefault="005C16F2" w:rsidP="003B7895">
            <w:pPr>
              <w:tabs>
                <w:tab w:val="left" w:pos="0"/>
                <w:tab w:val="right" w:leader="dot" w:pos="5220"/>
                <w:tab w:val="left" w:pos="5310"/>
                <w:tab w:val="left" w:pos="5580"/>
                <w:tab w:val="right" w:leader="dot" w:pos="10710"/>
              </w:tabs>
              <w:spacing w:before="120"/>
              <w:rPr>
                <w:rFonts w:ascii="Arial" w:hAnsi="Arial" w:cs="Arial"/>
              </w:rPr>
            </w:pPr>
            <w:r w:rsidRPr="002D015E">
              <w:rPr>
                <w:rFonts w:ascii="Arial" w:hAnsi="Arial" w:cs="Arial"/>
              </w:rPr>
              <w:t xml:space="preserve">Contractor Contact &amp; Phone: </w:t>
            </w:r>
          </w:p>
        </w:tc>
        <w:tc>
          <w:tcPr>
            <w:tcW w:w="5220" w:type="dxa"/>
          </w:tcPr>
          <w:p w14:paraId="13A15D5F" w14:textId="77777777" w:rsidR="005C16F2" w:rsidRPr="002D015E" w:rsidRDefault="005C16F2" w:rsidP="003B7895">
            <w:pPr>
              <w:tabs>
                <w:tab w:val="left" w:pos="0"/>
                <w:tab w:val="right" w:leader="dot" w:pos="5220"/>
                <w:tab w:val="left" w:pos="5310"/>
                <w:tab w:val="left" w:pos="5580"/>
                <w:tab w:val="right" w:leader="dot" w:pos="10710"/>
              </w:tabs>
              <w:spacing w:before="120"/>
              <w:rPr>
                <w:rFonts w:ascii="Arial" w:hAnsi="Arial" w:cs="Arial"/>
              </w:rPr>
            </w:pPr>
            <w:r w:rsidRPr="002D015E">
              <w:rPr>
                <w:rFonts w:ascii="Arial" w:hAnsi="Arial" w:cs="Arial"/>
              </w:rPr>
              <w:t>Agilent Project Number (or PO#)</w:t>
            </w:r>
            <w:r>
              <w:rPr>
                <w:rFonts w:ascii="Arial" w:hAnsi="Arial" w:cs="Arial"/>
              </w:rPr>
              <w:t>:</w:t>
            </w:r>
            <w:r w:rsidRPr="002D015E">
              <w:rPr>
                <w:rFonts w:ascii="Arial" w:hAnsi="Arial" w:cs="Arial"/>
              </w:rPr>
              <w:t xml:space="preserve"> </w:t>
            </w:r>
            <w:r w:rsidRPr="002D015E">
              <w:rPr>
                <w:rFonts w:ascii="Arial" w:hAnsi="Arial" w:cs="Arial"/>
              </w:rPr>
              <w:fldChar w:fldCharType="begin">
                <w:ffData>
                  <w:name w:val="Text22"/>
                  <w:enabled/>
                  <w:calcOnExit w:val="0"/>
                  <w:textInput/>
                </w:ffData>
              </w:fldChar>
            </w:r>
            <w:bookmarkStart w:id="7" w:name="Text22"/>
            <w:r w:rsidRPr="002D015E">
              <w:rPr>
                <w:rFonts w:ascii="Arial" w:hAnsi="Arial" w:cs="Arial"/>
              </w:rPr>
              <w:instrText xml:space="preserve"> FORMTEXT </w:instrText>
            </w:r>
            <w:r w:rsidRPr="002D015E">
              <w:rPr>
                <w:rFonts w:ascii="Arial" w:hAnsi="Arial" w:cs="Arial"/>
              </w:rPr>
            </w:r>
            <w:r w:rsidRPr="002D015E">
              <w:rPr>
                <w:rFonts w:ascii="Arial" w:hAnsi="Arial" w:cs="Arial"/>
              </w:rPr>
              <w:fldChar w:fldCharType="separate"/>
            </w:r>
            <w:r w:rsidRPr="002D015E">
              <w:rPr>
                <w:rFonts w:ascii="ITCCenturyBookT" w:hAnsi="ITCCenturyBookT" w:cs="Arial"/>
                <w:noProof/>
              </w:rPr>
              <w:t> </w:t>
            </w:r>
            <w:r w:rsidRPr="002D015E">
              <w:rPr>
                <w:rFonts w:ascii="ITCCenturyBookT" w:hAnsi="ITCCenturyBookT" w:cs="Arial"/>
                <w:noProof/>
              </w:rPr>
              <w:t> </w:t>
            </w:r>
            <w:r w:rsidRPr="002D015E">
              <w:rPr>
                <w:rFonts w:ascii="ITCCenturyBookT" w:hAnsi="ITCCenturyBookT" w:cs="Arial"/>
                <w:noProof/>
              </w:rPr>
              <w:t> </w:t>
            </w:r>
            <w:r w:rsidRPr="002D015E">
              <w:rPr>
                <w:rFonts w:ascii="ITCCenturyBookT" w:hAnsi="ITCCenturyBookT" w:cs="Arial"/>
                <w:noProof/>
              </w:rPr>
              <w:t> </w:t>
            </w:r>
            <w:r w:rsidRPr="002D015E">
              <w:rPr>
                <w:rFonts w:ascii="ITCCenturyBookT" w:hAnsi="ITCCenturyBookT" w:cs="Arial"/>
                <w:noProof/>
              </w:rPr>
              <w:t> </w:t>
            </w:r>
            <w:r w:rsidRPr="002D015E">
              <w:rPr>
                <w:rFonts w:ascii="Arial" w:hAnsi="Arial" w:cs="Arial"/>
              </w:rPr>
              <w:fldChar w:fldCharType="end"/>
            </w:r>
            <w:bookmarkEnd w:id="7"/>
          </w:p>
        </w:tc>
      </w:tr>
      <w:tr w:rsidR="005C16F2" w:rsidRPr="00F320DE" w14:paraId="669654C7" w14:textId="77777777" w:rsidTr="003B7895">
        <w:tc>
          <w:tcPr>
            <w:tcW w:w="4860" w:type="dxa"/>
          </w:tcPr>
          <w:p w14:paraId="6129DB15" w14:textId="77777777" w:rsidR="005C16F2" w:rsidRPr="002D015E" w:rsidRDefault="005C16F2" w:rsidP="003B7895">
            <w:pPr>
              <w:tabs>
                <w:tab w:val="left" w:pos="0"/>
                <w:tab w:val="right" w:leader="dot" w:pos="5220"/>
                <w:tab w:val="left" w:pos="5310"/>
                <w:tab w:val="left" w:pos="5580"/>
                <w:tab w:val="right" w:leader="dot" w:pos="10710"/>
              </w:tabs>
              <w:spacing w:before="120"/>
              <w:rPr>
                <w:rFonts w:ascii="Arial" w:hAnsi="Arial" w:cs="Arial"/>
              </w:rPr>
            </w:pPr>
            <w:r w:rsidRPr="002D015E">
              <w:rPr>
                <w:rFonts w:ascii="Arial" w:hAnsi="Arial" w:cs="Arial"/>
              </w:rPr>
              <w:t xml:space="preserve">Date Submitted: </w:t>
            </w:r>
          </w:p>
        </w:tc>
        <w:tc>
          <w:tcPr>
            <w:tcW w:w="5220" w:type="dxa"/>
          </w:tcPr>
          <w:p w14:paraId="1DC696DD" w14:textId="77777777" w:rsidR="005C16F2" w:rsidRPr="002D015E" w:rsidRDefault="005C16F2" w:rsidP="003B7895">
            <w:pPr>
              <w:tabs>
                <w:tab w:val="left" w:pos="0"/>
                <w:tab w:val="right" w:leader="dot" w:pos="5220"/>
                <w:tab w:val="left" w:pos="5310"/>
                <w:tab w:val="left" w:pos="5580"/>
                <w:tab w:val="right" w:leader="dot" w:pos="10710"/>
              </w:tabs>
              <w:spacing w:before="120"/>
              <w:rPr>
                <w:rFonts w:ascii="Arial" w:hAnsi="Arial" w:cs="Arial"/>
              </w:rPr>
            </w:pPr>
            <w:r w:rsidRPr="002D015E">
              <w:rPr>
                <w:rFonts w:ascii="Arial" w:hAnsi="Arial" w:cs="Arial"/>
              </w:rPr>
              <w:t xml:space="preserve">Location: </w:t>
            </w:r>
          </w:p>
        </w:tc>
      </w:tr>
    </w:tbl>
    <w:p w14:paraId="303F54D9" w14:textId="77777777" w:rsidR="005C16F2" w:rsidRPr="00F320DE" w:rsidRDefault="005C16F2" w:rsidP="005C16F2">
      <w:pPr>
        <w:pStyle w:val="Heading10"/>
        <w:keepNext w:val="0"/>
        <w:shd w:val="pct10" w:color="auto" w:fill="FFFFFF"/>
        <w:tabs>
          <w:tab w:val="center" w:pos="90"/>
          <w:tab w:val="center" w:pos="810"/>
          <w:tab w:val="right" w:pos="8640"/>
        </w:tabs>
        <w:spacing w:before="120"/>
        <w:rPr>
          <w:rFonts w:ascii="Arial" w:hAnsi="Arial" w:cs="Arial"/>
          <w:b/>
          <w:sz w:val="22"/>
        </w:rPr>
      </w:pPr>
      <w:r w:rsidRPr="00F320DE">
        <w:rPr>
          <w:rFonts w:ascii="Arial" w:hAnsi="Arial" w:cs="Arial"/>
          <w:b/>
          <w:sz w:val="22"/>
        </w:rPr>
        <w:t>Hazardous Substance(s) Information:</w:t>
      </w:r>
    </w:p>
    <w:p w14:paraId="08A6DAA8" w14:textId="77777777" w:rsidR="005C16F2" w:rsidRPr="00F320DE" w:rsidRDefault="005C16F2" w:rsidP="005C16F2">
      <w:pPr>
        <w:tabs>
          <w:tab w:val="left" w:pos="0"/>
          <w:tab w:val="left" w:pos="540"/>
          <w:tab w:val="left" w:pos="1080"/>
          <w:tab w:val="right" w:leader="dot" w:pos="4680"/>
          <w:tab w:val="left" w:pos="5040"/>
          <w:tab w:val="right" w:pos="5310"/>
          <w:tab w:val="left" w:pos="5400"/>
          <w:tab w:val="right" w:pos="9720"/>
        </w:tabs>
        <w:rPr>
          <w:rFonts w:ascii="Arial" w:hAnsi="Arial" w:cs="Arial"/>
          <w:sz w:val="18"/>
        </w:rPr>
      </w:pPr>
      <w:r w:rsidRPr="00F320DE">
        <w:rPr>
          <w:rFonts w:ascii="Arial" w:hAnsi="Arial" w:cs="Arial"/>
          <w:sz w:val="18"/>
        </w:rPr>
        <w:t>A complete, legible, up-to-date Safety Data Sheet (SDS) shall be attached for each proposed hazardous substance.</w:t>
      </w:r>
    </w:p>
    <w:tbl>
      <w:tblPr>
        <w:tblW w:w="10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0"/>
        <w:gridCol w:w="1260"/>
        <w:gridCol w:w="1440"/>
      </w:tblGrid>
      <w:tr w:rsidR="005C16F2" w:rsidRPr="00F320DE" w14:paraId="5C0C8CA3" w14:textId="77777777" w:rsidTr="003B7895">
        <w:trPr>
          <w:cantSplit/>
          <w:trHeight w:val="323"/>
        </w:trPr>
        <w:tc>
          <w:tcPr>
            <w:tcW w:w="7380" w:type="dxa"/>
            <w:vMerge w:val="restart"/>
          </w:tcPr>
          <w:p w14:paraId="041F2000"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b/>
              </w:rPr>
            </w:pPr>
            <w:r w:rsidRPr="00F320DE">
              <w:rPr>
                <w:rFonts w:ascii="Arial" w:hAnsi="Arial" w:cs="Arial"/>
                <w:b/>
              </w:rPr>
              <w:t>Name of Hazardous Substance</w:t>
            </w:r>
          </w:p>
          <w:p w14:paraId="391B3F9F"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jc w:val="center"/>
              <w:rPr>
                <w:rFonts w:ascii="Arial" w:hAnsi="Arial" w:cs="Arial"/>
                <w:b/>
              </w:rPr>
            </w:pPr>
            <w:r w:rsidRPr="00F320DE">
              <w:rPr>
                <w:rFonts w:ascii="Arial" w:hAnsi="Arial" w:cs="Arial"/>
                <w:b/>
              </w:rPr>
              <w:t xml:space="preserve"> </w:t>
            </w:r>
            <w:r w:rsidRPr="00F320DE">
              <w:rPr>
                <w:rFonts w:ascii="Arial" w:hAnsi="Arial" w:cs="Arial"/>
                <w:b/>
                <w:sz w:val="18"/>
              </w:rPr>
              <w:t>(as it appears on SDS)</w:t>
            </w:r>
          </w:p>
        </w:tc>
        <w:tc>
          <w:tcPr>
            <w:tcW w:w="2700" w:type="dxa"/>
            <w:gridSpan w:val="2"/>
            <w:vAlign w:val="bottom"/>
          </w:tcPr>
          <w:p w14:paraId="65648343"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rPr>
                <w:rFonts w:ascii="Arial" w:hAnsi="Arial" w:cs="Arial"/>
                <w:b/>
                <w:sz w:val="18"/>
              </w:rPr>
            </w:pPr>
            <w:r w:rsidRPr="00F320DE">
              <w:rPr>
                <w:rFonts w:ascii="Arial" w:hAnsi="Arial" w:cs="Arial"/>
                <w:b/>
              </w:rPr>
              <w:t xml:space="preserve">           Duration of Use</w:t>
            </w:r>
          </w:p>
        </w:tc>
      </w:tr>
      <w:tr w:rsidR="005C16F2" w:rsidRPr="00F320DE" w14:paraId="2138664E" w14:textId="77777777" w:rsidTr="003B7895">
        <w:trPr>
          <w:cantSplit/>
          <w:trHeight w:val="322"/>
        </w:trPr>
        <w:tc>
          <w:tcPr>
            <w:tcW w:w="7380" w:type="dxa"/>
            <w:vMerge/>
            <w:vAlign w:val="bottom"/>
          </w:tcPr>
          <w:p w14:paraId="687C273F"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jc w:val="center"/>
              <w:rPr>
                <w:rFonts w:ascii="Arial" w:hAnsi="Arial" w:cs="Arial"/>
                <w:b/>
              </w:rPr>
            </w:pPr>
          </w:p>
        </w:tc>
        <w:tc>
          <w:tcPr>
            <w:tcW w:w="1260" w:type="dxa"/>
          </w:tcPr>
          <w:p w14:paraId="7DFA9A83" w14:textId="77777777" w:rsidR="005C16F2" w:rsidRPr="00F320DE" w:rsidRDefault="005C16F2" w:rsidP="003B7895">
            <w:pPr>
              <w:tabs>
                <w:tab w:val="left" w:pos="0"/>
                <w:tab w:val="right" w:leader="dot" w:pos="4680"/>
                <w:tab w:val="left" w:pos="5040"/>
                <w:tab w:val="right" w:pos="5310"/>
                <w:tab w:val="left" w:pos="5400"/>
                <w:tab w:val="right" w:pos="9720"/>
              </w:tabs>
              <w:ind w:right="-288"/>
              <w:jc w:val="both"/>
              <w:rPr>
                <w:rFonts w:ascii="Arial" w:hAnsi="Arial" w:cs="Arial"/>
                <w:b/>
                <w:sz w:val="18"/>
              </w:rPr>
            </w:pPr>
            <w:r w:rsidRPr="00F320DE">
              <w:rPr>
                <w:rFonts w:ascii="Arial" w:hAnsi="Arial" w:cs="Arial"/>
                <w:b/>
                <w:sz w:val="18"/>
              </w:rPr>
              <w:t>Permanent or Long-term</w:t>
            </w:r>
          </w:p>
        </w:tc>
        <w:tc>
          <w:tcPr>
            <w:tcW w:w="1440" w:type="dxa"/>
            <w:vAlign w:val="bottom"/>
          </w:tcPr>
          <w:p w14:paraId="120692BF"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jc w:val="center"/>
              <w:rPr>
                <w:rFonts w:ascii="Arial" w:hAnsi="Arial" w:cs="Arial"/>
                <w:b/>
              </w:rPr>
            </w:pPr>
            <w:r w:rsidRPr="00F320DE">
              <w:rPr>
                <w:rFonts w:ascii="Arial" w:hAnsi="Arial" w:cs="Arial"/>
                <w:b/>
                <w:sz w:val="18"/>
              </w:rPr>
              <w:t>Temporary</w:t>
            </w:r>
          </w:p>
        </w:tc>
      </w:tr>
      <w:tr w:rsidR="005C16F2" w:rsidRPr="00F320DE" w14:paraId="71FF0A9D" w14:textId="77777777" w:rsidTr="003B7895">
        <w:trPr>
          <w:cantSplit/>
          <w:trHeight w:val="332"/>
        </w:trPr>
        <w:tc>
          <w:tcPr>
            <w:tcW w:w="7380" w:type="dxa"/>
          </w:tcPr>
          <w:p w14:paraId="0BB98BAA" w14:textId="77777777" w:rsidR="005C16F2" w:rsidRPr="00F320DE" w:rsidRDefault="005C16F2" w:rsidP="003B7895">
            <w:pPr>
              <w:tabs>
                <w:tab w:val="left" w:pos="0"/>
                <w:tab w:val="right" w:leader="dot" w:pos="5220"/>
                <w:tab w:val="left" w:pos="5310"/>
                <w:tab w:val="left" w:pos="5580"/>
                <w:tab w:val="right" w:leader="dot" w:pos="10710"/>
              </w:tabs>
              <w:spacing w:before="120"/>
              <w:rPr>
                <w:rFonts w:ascii="Arial" w:hAnsi="Arial" w:cs="Arial"/>
                <w:sz w:val="18"/>
              </w:rPr>
            </w:pPr>
            <w:r w:rsidRPr="00F320DE">
              <w:rPr>
                <w:rFonts w:ascii="Arial" w:hAnsi="Arial" w:cs="Arial"/>
                <w:sz w:val="18"/>
              </w:rPr>
              <w:fldChar w:fldCharType="begin">
                <w:ffData>
                  <w:name w:val="Text6"/>
                  <w:enabled/>
                  <w:calcOnExit w:val="0"/>
                  <w:textInput/>
                </w:ffData>
              </w:fldChar>
            </w:r>
            <w:bookmarkStart w:id="8" w:name="Text6"/>
            <w:r w:rsidRPr="00F320DE">
              <w:rPr>
                <w:rFonts w:ascii="Arial" w:hAnsi="Arial" w:cs="Arial"/>
                <w:sz w:val="18"/>
              </w:rPr>
              <w:instrText xml:space="preserve"> FORMTEXT </w:instrText>
            </w:r>
            <w:r w:rsidRPr="00F320DE">
              <w:rPr>
                <w:rFonts w:ascii="Arial" w:hAnsi="Arial" w:cs="Arial"/>
                <w:sz w:val="18"/>
              </w:rPr>
            </w:r>
            <w:r w:rsidRPr="00F320DE">
              <w:rPr>
                <w:rFonts w:ascii="Arial" w:hAnsi="Arial" w:cs="Arial"/>
                <w:sz w:val="18"/>
              </w:rPr>
              <w:fldChar w:fldCharType="separate"/>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w:hAnsi="Arial" w:cs="Arial"/>
                <w:sz w:val="18"/>
              </w:rPr>
              <w:fldChar w:fldCharType="end"/>
            </w:r>
            <w:bookmarkEnd w:id="8"/>
            <w:r w:rsidRPr="00F320DE">
              <w:rPr>
                <w:rFonts w:ascii="Arial" w:hAnsi="Arial" w:cs="Arial"/>
              </w:rPr>
              <w:t xml:space="preserve"> </w:t>
            </w:r>
          </w:p>
        </w:tc>
        <w:tc>
          <w:tcPr>
            <w:tcW w:w="1260" w:type="dxa"/>
          </w:tcPr>
          <w:p w14:paraId="682FBD9D"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c>
          <w:tcPr>
            <w:tcW w:w="1440" w:type="dxa"/>
          </w:tcPr>
          <w:p w14:paraId="0A8A2D78"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r>
      <w:tr w:rsidR="005C16F2" w:rsidRPr="00F320DE" w14:paraId="6A65BDF0" w14:textId="77777777" w:rsidTr="003B7895">
        <w:trPr>
          <w:cantSplit/>
        </w:trPr>
        <w:tc>
          <w:tcPr>
            <w:tcW w:w="7380" w:type="dxa"/>
          </w:tcPr>
          <w:p w14:paraId="604727D0"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rPr>
                <w:rFonts w:ascii="Arial" w:hAnsi="Arial" w:cs="Arial"/>
                <w:sz w:val="18"/>
              </w:rPr>
            </w:pPr>
            <w:r w:rsidRPr="00F320DE">
              <w:rPr>
                <w:rFonts w:ascii="Arial" w:hAnsi="Arial" w:cs="Arial"/>
                <w:sz w:val="18"/>
              </w:rPr>
              <w:fldChar w:fldCharType="begin">
                <w:ffData>
                  <w:name w:val="Text23"/>
                  <w:enabled/>
                  <w:calcOnExit w:val="0"/>
                  <w:textInput/>
                </w:ffData>
              </w:fldChar>
            </w:r>
            <w:bookmarkStart w:id="9" w:name="Text23"/>
            <w:r w:rsidRPr="00F320DE">
              <w:rPr>
                <w:rFonts w:ascii="Arial" w:hAnsi="Arial" w:cs="Arial"/>
                <w:sz w:val="18"/>
              </w:rPr>
              <w:instrText xml:space="preserve"> FORMTEXT </w:instrText>
            </w:r>
            <w:r w:rsidRPr="00F320DE">
              <w:rPr>
                <w:rFonts w:ascii="Arial" w:hAnsi="Arial" w:cs="Arial"/>
                <w:sz w:val="18"/>
              </w:rPr>
            </w:r>
            <w:r w:rsidRPr="00F320DE">
              <w:rPr>
                <w:rFonts w:ascii="Arial" w:hAnsi="Arial" w:cs="Arial"/>
                <w:sz w:val="18"/>
              </w:rPr>
              <w:fldChar w:fldCharType="separate"/>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w:hAnsi="Arial" w:cs="Arial"/>
                <w:sz w:val="18"/>
              </w:rPr>
              <w:fldChar w:fldCharType="end"/>
            </w:r>
            <w:bookmarkEnd w:id="9"/>
          </w:p>
        </w:tc>
        <w:tc>
          <w:tcPr>
            <w:tcW w:w="1260" w:type="dxa"/>
          </w:tcPr>
          <w:p w14:paraId="24CF3D4B"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c>
          <w:tcPr>
            <w:tcW w:w="1440" w:type="dxa"/>
          </w:tcPr>
          <w:p w14:paraId="3D6F1AD9"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r>
      <w:tr w:rsidR="005C16F2" w:rsidRPr="00F320DE" w14:paraId="06D68CE0" w14:textId="77777777" w:rsidTr="003B7895">
        <w:trPr>
          <w:cantSplit/>
        </w:trPr>
        <w:tc>
          <w:tcPr>
            <w:tcW w:w="7380" w:type="dxa"/>
          </w:tcPr>
          <w:p w14:paraId="5C34887C"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rPr>
                <w:rFonts w:ascii="Arial" w:hAnsi="Arial" w:cs="Arial"/>
                <w:sz w:val="18"/>
              </w:rPr>
            </w:pPr>
            <w:r w:rsidRPr="00F320DE">
              <w:rPr>
                <w:rFonts w:ascii="Arial" w:hAnsi="Arial" w:cs="Arial"/>
                <w:sz w:val="18"/>
              </w:rPr>
              <w:fldChar w:fldCharType="begin">
                <w:ffData>
                  <w:name w:val="Text7"/>
                  <w:enabled/>
                  <w:calcOnExit w:val="0"/>
                  <w:textInput/>
                </w:ffData>
              </w:fldChar>
            </w:r>
            <w:bookmarkStart w:id="10" w:name="Text7"/>
            <w:r w:rsidRPr="00F320DE">
              <w:rPr>
                <w:rFonts w:ascii="Arial" w:hAnsi="Arial" w:cs="Arial"/>
                <w:sz w:val="18"/>
              </w:rPr>
              <w:instrText xml:space="preserve"> FORMTEXT </w:instrText>
            </w:r>
            <w:r w:rsidRPr="00F320DE">
              <w:rPr>
                <w:rFonts w:ascii="Arial" w:hAnsi="Arial" w:cs="Arial"/>
                <w:sz w:val="18"/>
              </w:rPr>
            </w:r>
            <w:r w:rsidRPr="00F320DE">
              <w:rPr>
                <w:rFonts w:ascii="Arial" w:hAnsi="Arial" w:cs="Arial"/>
                <w:sz w:val="18"/>
              </w:rPr>
              <w:fldChar w:fldCharType="separate"/>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w:hAnsi="Arial" w:cs="Arial"/>
                <w:sz w:val="18"/>
              </w:rPr>
              <w:fldChar w:fldCharType="end"/>
            </w:r>
            <w:bookmarkEnd w:id="10"/>
          </w:p>
        </w:tc>
        <w:tc>
          <w:tcPr>
            <w:tcW w:w="1260" w:type="dxa"/>
          </w:tcPr>
          <w:p w14:paraId="6664F741"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c>
          <w:tcPr>
            <w:tcW w:w="1440" w:type="dxa"/>
          </w:tcPr>
          <w:p w14:paraId="4A6E5C45"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r>
      <w:tr w:rsidR="005C16F2" w:rsidRPr="00F320DE" w14:paraId="553A9702" w14:textId="77777777" w:rsidTr="003B7895">
        <w:trPr>
          <w:cantSplit/>
        </w:trPr>
        <w:tc>
          <w:tcPr>
            <w:tcW w:w="7380" w:type="dxa"/>
          </w:tcPr>
          <w:p w14:paraId="6FE71DA0" w14:textId="77777777" w:rsidR="005C16F2" w:rsidRPr="00F320DE" w:rsidRDefault="005C16F2" w:rsidP="003B7895">
            <w:pPr>
              <w:tabs>
                <w:tab w:val="left" w:pos="0"/>
                <w:tab w:val="right" w:leader="dot" w:pos="5220"/>
                <w:tab w:val="left" w:pos="5310"/>
                <w:tab w:val="left" w:pos="5580"/>
                <w:tab w:val="right" w:leader="dot" w:pos="10710"/>
              </w:tabs>
              <w:spacing w:before="120"/>
              <w:rPr>
                <w:rFonts w:ascii="Arial" w:hAnsi="Arial" w:cs="Arial"/>
                <w:sz w:val="18"/>
              </w:rPr>
            </w:pPr>
            <w:r w:rsidRPr="00F320DE">
              <w:rPr>
                <w:rFonts w:ascii="Arial" w:hAnsi="Arial" w:cs="Arial"/>
                <w:sz w:val="18"/>
              </w:rPr>
              <w:fldChar w:fldCharType="begin">
                <w:ffData>
                  <w:name w:val="Text24"/>
                  <w:enabled/>
                  <w:calcOnExit w:val="0"/>
                  <w:textInput/>
                </w:ffData>
              </w:fldChar>
            </w:r>
            <w:bookmarkStart w:id="11" w:name="Text24"/>
            <w:r w:rsidRPr="00F320DE">
              <w:rPr>
                <w:rFonts w:ascii="Arial" w:hAnsi="Arial" w:cs="Arial"/>
                <w:sz w:val="18"/>
              </w:rPr>
              <w:instrText xml:space="preserve"> FORMTEXT </w:instrText>
            </w:r>
            <w:r w:rsidRPr="00F320DE">
              <w:rPr>
                <w:rFonts w:ascii="Arial" w:hAnsi="Arial" w:cs="Arial"/>
                <w:sz w:val="18"/>
              </w:rPr>
            </w:r>
            <w:r w:rsidRPr="00F320DE">
              <w:rPr>
                <w:rFonts w:ascii="Arial" w:hAnsi="Arial" w:cs="Arial"/>
                <w:sz w:val="18"/>
              </w:rPr>
              <w:fldChar w:fldCharType="separate"/>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w:hAnsi="Arial" w:cs="Arial"/>
                <w:sz w:val="18"/>
              </w:rPr>
              <w:fldChar w:fldCharType="end"/>
            </w:r>
            <w:bookmarkEnd w:id="11"/>
          </w:p>
        </w:tc>
        <w:tc>
          <w:tcPr>
            <w:tcW w:w="1260" w:type="dxa"/>
          </w:tcPr>
          <w:p w14:paraId="1068826E"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c>
          <w:tcPr>
            <w:tcW w:w="1440" w:type="dxa"/>
          </w:tcPr>
          <w:p w14:paraId="146080D1"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r>
      <w:tr w:rsidR="005C16F2" w:rsidRPr="00F320DE" w14:paraId="5ECD5C80" w14:textId="77777777" w:rsidTr="003B7895">
        <w:trPr>
          <w:cantSplit/>
        </w:trPr>
        <w:tc>
          <w:tcPr>
            <w:tcW w:w="7380" w:type="dxa"/>
          </w:tcPr>
          <w:p w14:paraId="43C013B3" w14:textId="77777777" w:rsidR="005C16F2" w:rsidRPr="00F320DE" w:rsidRDefault="005C16F2" w:rsidP="003B7895">
            <w:pPr>
              <w:tabs>
                <w:tab w:val="left" w:pos="0"/>
                <w:tab w:val="right" w:leader="dot" w:pos="5220"/>
                <w:tab w:val="left" w:pos="5310"/>
                <w:tab w:val="left" w:pos="5580"/>
                <w:tab w:val="right" w:leader="dot" w:pos="10710"/>
              </w:tabs>
              <w:spacing w:before="120"/>
              <w:rPr>
                <w:rFonts w:ascii="Arial" w:hAnsi="Arial" w:cs="Arial"/>
                <w:sz w:val="18"/>
              </w:rPr>
            </w:pPr>
            <w:r w:rsidRPr="00F320DE">
              <w:rPr>
                <w:rFonts w:ascii="Arial" w:hAnsi="Arial" w:cs="Arial"/>
                <w:sz w:val="18"/>
              </w:rPr>
              <w:fldChar w:fldCharType="begin">
                <w:ffData>
                  <w:name w:val="Text8"/>
                  <w:enabled/>
                  <w:calcOnExit w:val="0"/>
                  <w:textInput/>
                </w:ffData>
              </w:fldChar>
            </w:r>
            <w:bookmarkStart w:id="12" w:name="Text8"/>
            <w:r w:rsidRPr="00F320DE">
              <w:rPr>
                <w:rFonts w:ascii="Arial" w:hAnsi="Arial" w:cs="Arial"/>
                <w:sz w:val="18"/>
              </w:rPr>
              <w:instrText xml:space="preserve"> FORMTEXT </w:instrText>
            </w:r>
            <w:r w:rsidRPr="00F320DE">
              <w:rPr>
                <w:rFonts w:ascii="Arial" w:hAnsi="Arial" w:cs="Arial"/>
                <w:sz w:val="18"/>
              </w:rPr>
            </w:r>
            <w:r w:rsidRPr="00F320DE">
              <w:rPr>
                <w:rFonts w:ascii="Arial" w:hAnsi="Arial" w:cs="Arial"/>
                <w:sz w:val="18"/>
              </w:rPr>
              <w:fldChar w:fldCharType="separate"/>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Narrow" w:hAnsi="Arial Narrow" w:cs="Arial"/>
                <w:noProof/>
                <w:sz w:val="18"/>
              </w:rPr>
              <w:t> </w:t>
            </w:r>
            <w:r w:rsidRPr="00F320DE">
              <w:rPr>
                <w:rFonts w:ascii="Arial" w:hAnsi="Arial" w:cs="Arial"/>
                <w:sz w:val="18"/>
              </w:rPr>
              <w:fldChar w:fldCharType="end"/>
            </w:r>
            <w:bookmarkEnd w:id="12"/>
          </w:p>
        </w:tc>
        <w:tc>
          <w:tcPr>
            <w:tcW w:w="1260" w:type="dxa"/>
          </w:tcPr>
          <w:p w14:paraId="3AC08A0D"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c>
          <w:tcPr>
            <w:tcW w:w="1440" w:type="dxa"/>
          </w:tcPr>
          <w:p w14:paraId="077CEE44" w14:textId="77777777" w:rsidR="005C16F2" w:rsidRPr="00F320DE" w:rsidRDefault="005C16F2" w:rsidP="003B7895">
            <w:pPr>
              <w:tabs>
                <w:tab w:val="left" w:pos="0"/>
                <w:tab w:val="left" w:pos="540"/>
                <w:tab w:val="left" w:pos="1080"/>
                <w:tab w:val="right" w:leader="dot" w:pos="4680"/>
                <w:tab w:val="left" w:pos="5040"/>
                <w:tab w:val="right" w:pos="5310"/>
                <w:tab w:val="left" w:pos="5400"/>
                <w:tab w:val="right" w:pos="9720"/>
              </w:tabs>
              <w:spacing w:before="120"/>
              <w:jc w:val="center"/>
              <w:rPr>
                <w:rFonts w:ascii="Arial" w:hAnsi="Arial" w:cs="Arial"/>
              </w:rPr>
            </w:pPr>
            <w:r w:rsidRPr="00F320DE">
              <w:rPr>
                <w:rFonts w:ascii="Arial" w:hAnsi="Arial" w:cs="Arial"/>
              </w:rPr>
              <w:fldChar w:fldCharType="begin">
                <w:ffData>
                  <w:name w:val="Check1"/>
                  <w:enabled/>
                  <w:calcOnExit w:val="0"/>
                  <w:checkBox>
                    <w:sizeAuto/>
                    <w:default w:val="0"/>
                  </w:checkBox>
                </w:ffData>
              </w:fldChar>
            </w:r>
            <w:r w:rsidRPr="00F320DE">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F320DE">
              <w:rPr>
                <w:rFonts w:ascii="Arial" w:hAnsi="Arial" w:cs="Arial"/>
              </w:rPr>
              <w:fldChar w:fldCharType="end"/>
            </w:r>
          </w:p>
        </w:tc>
      </w:tr>
    </w:tbl>
    <w:p w14:paraId="07628461" w14:textId="77777777" w:rsidR="005C16F2" w:rsidRPr="002D015E" w:rsidRDefault="005C16F2" w:rsidP="005C16F2">
      <w:pPr>
        <w:pStyle w:val="Heading10"/>
        <w:keepNext w:val="0"/>
        <w:shd w:val="pct10" w:color="auto" w:fill="FFFFFF"/>
        <w:tabs>
          <w:tab w:val="center" w:pos="90"/>
          <w:tab w:val="center" w:pos="810"/>
        </w:tabs>
        <w:spacing w:before="120"/>
        <w:rPr>
          <w:rFonts w:ascii="Arial" w:hAnsi="Arial" w:cs="Arial"/>
          <w:b/>
          <w:i/>
          <w:iCs/>
          <w:sz w:val="18"/>
        </w:rPr>
      </w:pPr>
      <w:r w:rsidRPr="002D015E">
        <w:rPr>
          <w:rFonts w:ascii="Arial" w:hAnsi="Arial" w:cs="Arial"/>
          <w:b/>
          <w:sz w:val="22"/>
        </w:rPr>
        <w:t xml:space="preserve">Description of Hazardous Substance: </w:t>
      </w:r>
      <w:r w:rsidRPr="002D015E">
        <w:rPr>
          <w:rFonts w:ascii="Arial" w:hAnsi="Arial" w:cs="Arial"/>
          <w:b/>
          <w:i/>
          <w:iCs/>
          <w:sz w:val="18"/>
        </w:rPr>
        <w:t>(pick all that apply)</w:t>
      </w:r>
    </w:p>
    <w:tbl>
      <w:tblPr>
        <w:tblStyle w:val="TableGrid"/>
        <w:tblW w:w="0" w:type="auto"/>
        <w:tblLook w:val="04A0" w:firstRow="1" w:lastRow="0" w:firstColumn="1" w:lastColumn="0" w:noHBand="0" w:noVBand="1"/>
      </w:tblPr>
      <w:tblGrid>
        <w:gridCol w:w="6228"/>
        <w:gridCol w:w="3780"/>
      </w:tblGrid>
      <w:tr w:rsidR="005C16F2" w14:paraId="1F7D84B2" w14:textId="77777777" w:rsidTr="003B7895">
        <w:tc>
          <w:tcPr>
            <w:tcW w:w="10008" w:type="dxa"/>
            <w:gridSpan w:val="2"/>
          </w:tcPr>
          <w:p w14:paraId="697D2399" w14:textId="77777777" w:rsidR="005C16F2" w:rsidRPr="00975A0D" w:rsidRDefault="005C16F2" w:rsidP="003B7895">
            <w:pPr>
              <w:tabs>
                <w:tab w:val="left" w:pos="0"/>
                <w:tab w:val="left" w:pos="540"/>
                <w:tab w:val="left" w:pos="1080"/>
                <w:tab w:val="right" w:leader="dot" w:pos="4680"/>
                <w:tab w:val="left" w:pos="5040"/>
                <w:tab w:val="right" w:pos="5310"/>
                <w:tab w:val="left" w:pos="5400"/>
                <w:tab w:val="right" w:pos="9720"/>
              </w:tabs>
              <w:rPr>
                <w:iCs/>
                <w:snapToGrid w:val="0"/>
                <w:color w:val="000000"/>
              </w:rPr>
            </w:pPr>
            <w:r w:rsidRPr="002D015E">
              <w:rPr>
                <w:i/>
                <w:iCs/>
                <w:snapToGrid w:val="0"/>
                <w:color w:val="000000"/>
              </w:rPr>
              <w:fldChar w:fldCharType="begin">
                <w:ffData>
                  <w:name w:val="Check2"/>
                  <w:enabled/>
                  <w:calcOnExit w:val="0"/>
                  <w:checkBox>
                    <w:sizeAuto/>
                    <w:default w:val="0"/>
                  </w:checkBox>
                </w:ffData>
              </w:fldChar>
            </w:r>
            <w:r w:rsidRPr="002D015E">
              <w:rPr>
                <w:i/>
                <w:iCs/>
                <w:snapToGrid w:val="0"/>
                <w:color w:val="000000"/>
              </w:rPr>
              <w:instrText xml:space="preserve"> FORMCHECKBOX </w:instrText>
            </w:r>
            <w:r w:rsidR="00D3542A">
              <w:rPr>
                <w:i/>
                <w:iCs/>
                <w:snapToGrid w:val="0"/>
                <w:color w:val="000000"/>
              </w:rPr>
            </w:r>
            <w:r w:rsidR="00D3542A">
              <w:rPr>
                <w:i/>
                <w:iCs/>
                <w:snapToGrid w:val="0"/>
                <w:color w:val="000000"/>
              </w:rPr>
              <w:fldChar w:fldCharType="separate"/>
            </w:r>
            <w:r w:rsidRPr="002D015E">
              <w:rPr>
                <w:iCs/>
                <w:snapToGrid w:val="0"/>
                <w:color w:val="000000"/>
              </w:rPr>
              <w:fldChar w:fldCharType="end"/>
            </w:r>
            <w:r w:rsidRPr="00975A0D">
              <w:rPr>
                <w:iCs/>
                <w:snapToGrid w:val="0"/>
                <w:color w:val="000000"/>
              </w:rPr>
              <w:t xml:space="preserve">Adhesive  </w:t>
            </w:r>
            <w:r w:rsidRPr="00975A0D">
              <w:rPr>
                <w:iCs/>
                <w:snapToGrid w:val="0"/>
                <w:color w:val="000000"/>
              </w:rPr>
              <w:fldChar w:fldCharType="begin">
                <w:ffData>
                  <w:name w:val="Check3"/>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Gases  </w:t>
            </w:r>
            <w:r w:rsidRPr="00975A0D">
              <w:rPr>
                <w:iCs/>
                <w:snapToGrid w:val="0"/>
                <w:color w:val="000000"/>
              </w:rPr>
              <w:fldChar w:fldCharType="begin">
                <w:ffData>
                  <w:name w:val="Check4"/>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Solder  </w:t>
            </w:r>
            <w:r w:rsidRPr="00975A0D">
              <w:rPr>
                <w:iCs/>
                <w:snapToGrid w:val="0"/>
                <w:color w:val="000000"/>
              </w:rPr>
              <w:fldChar w:fldCharType="begin">
                <w:ffData>
                  <w:name w:val="Check5"/>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Oil  </w:t>
            </w:r>
            <w:r w:rsidRPr="00975A0D">
              <w:rPr>
                <w:iCs/>
                <w:snapToGrid w:val="0"/>
                <w:color w:val="000000"/>
              </w:rPr>
              <w:fldChar w:fldCharType="begin">
                <w:ffData>
                  <w:name w:val="Check6"/>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Inks  </w:t>
            </w:r>
            <w:r w:rsidRPr="00975A0D">
              <w:rPr>
                <w:iCs/>
                <w:snapToGrid w:val="0"/>
                <w:color w:val="000000"/>
              </w:rPr>
              <w:fldChar w:fldCharType="begin">
                <w:ffData>
                  <w:name w:val="Check7"/>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Flux  </w:t>
            </w:r>
            <w:r w:rsidRPr="00975A0D">
              <w:rPr>
                <w:iCs/>
                <w:snapToGrid w:val="0"/>
                <w:color w:val="000000"/>
              </w:rPr>
              <w:fldChar w:fldCharType="begin">
                <w:ffData>
                  <w:name w:val="Check8"/>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Paint/Coating   </w:t>
            </w:r>
            <w:r w:rsidRPr="00975A0D">
              <w:rPr>
                <w:iCs/>
                <w:snapToGrid w:val="0"/>
                <w:color w:val="000000"/>
              </w:rPr>
              <w:fldChar w:fldCharType="begin">
                <w:ffData>
                  <w:name w:val="Check9"/>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Cleaner/Degreaser</w:t>
            </w:r>
          </w:p>
          <w:p w14:paraId="00CBA4CA" w14:textId="77777777" w:rsidR="005C16F2" w:rsidRPr="002D015E" w:rsidRDefault="005C16F2" w:rsidP="003B7895">
            <w:pPr>
              <w:tabs>
                <w:tab w:val="left" w:pos="0"/>
                <w:tab w:val="left" w:pos="540"/>
                <w:tab w:val="left" w:pos="1080"/>
                <w:tab w:val="right" w:leader="dot" w:pos="4680"/>
                <w:tab w:val="left" w:pos="5040"/>
                <w:tab w:val="right" w:pos="5310"/>
                <w:tab w:val="left" w:pos="5400"/>
                <w:tab w:val="right" w:pos="9720"/>
              </w:tabs>
              <w:spacing w:before="60"/>
              <w:rPr>
                <w:iCs/>
                <w:snapToGrid w:val="0"/>
                <w:color w:val="000000"/>
                <w:sz w:val="22"/>
              </w:rPr>
            </w:pPr>
            <w:r w:rsidRPr="00975A0D">
              <w:rPr>
                <w:iCs/>
                <w:snapToGrid w:val="0"/>
                <w:color w:val="000000"/>
              </w:rPr>
              <w:fldChar w:fldCharType="begin">
                <w:ffData>
                  <w:name w:val="Check10"/>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Solvent   </w:t>
            </w:r>
            <w:r w:rsidRPr="00975A0D">
              <w:rPr>
                <w:iCs/>
                <w:snapToGrid w:val="0"/>
                <w:color w:val="000000"/>
              </w:rPr>
              <w:fldChar w:fldCharType="begin">
                <w:ffData>
                  <w:name w:val="Check11"/>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Plating Chemical   </w:t>
            </w:r>
            <w:r w:rsidRPr="00975A0D">
              <w:rPr>
                <w:iCs/>
                <w:snapToGrid w:val="0"/>
                <w:color w:val="000000"/>
              </w:rPr>
              <w:fldChar w:fldCharType="begin">
                <w:ffData>
                  <w:name w:val="Check12"/>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 xml:space="preserve">Corrosive   </w:t>
            </w:r>
            <w:r w:rsidRPr="00975A0D">
              <w:rPr>
                <w:iCs/>
                <w:snapToGrid w:val="0"/>
                <w:color w:val="000000"/>
              </w:rPr>
              <w:fldChar w:fldCharType="begin">
                <w:ffData>
                  <w:name w:val="Check7"/>
                  <w:enabled/>
                  <w:calcOnExit w:val="0"/>
                  <w:checkBox>
                    <w:sizeAuto/>
                    <w:default w:val="0"/>
                  </w:checkBox>
                </w:ffData>
              </w:fldChar>
            </w:r>
            <w:r w:rsidRPr="00975A0D">
              <w:rPr>
                <w:iCs/>
                <w:snapToGrid w:val="0"/>
                <w:color w:val="000000"/>
              </w:rPr>
              <w:instrText xml:space="preserve"> FORMCHECKBOX </w:instrText>
            </w:r>
            <w:r w:rsidR="00D3542A">
              <w:rPr>
                <w:iCs/>
                <w:snapToGrid w:val="0"/>
                <w:color w:val="000000"/>
              </w:rPr>
            </w:r>
            <w:r w:rsidR="00D3542A">
              <w:rPr>
                <w:iCs/>
                <w:snapToGrid w:val="0"/>
                <w:color w:val="000000"/>
              </w:rPr>
              <w:fldChar w:fldCharType="separate"/>
            </w:r>
            <w:r w:rsidRPr="00975A0D">
              <w:rPr>
                <w:iCs/>
                <w:snapToGrid w:val="0"/>
                <w:color w:val="000000"/>
              </w:rPr>
              <w:fldChar w:fldCharType="end"/>
            </w:r>
            <w:r w:rsidRPr="00975A0D">
              <w:rPr>
                <w:iCs/>
                <w:snapToGrid w:val="0"/>
                <w:color w:val="000000"/>
              </w:rPr>
              <w:t>Other (specify):</w:t>
            </w:r>
            <w:r w:rsidRPr="002D015E">
              <w:rPr>
                <w:iCs/>
                <w:snapToGrid w:val="0"/>
                <w:color w:val="000000"/>
              </w:rPr>
              <w:t xml:space="preserve"> </w:t>
            </w:r>
          </w:p>
        </w:tc>
      </w:tr>
      <w:tr w:rsidR="005C16F2" w14:paraId="308F8707" w14:textId="77777777" w:rsidTr="003B7895">
        <w:tc>
          <w:tcPr>
            <w:tcW w:w="10008" w:type="dxa"/>
            <w:gridSpan w:val="2"/>
          </w:tcPr>
          <w:p w14:paraId="2D5853B1" w14:textId="77777777" w:rsidR="005C16F2" w:rsidRPr="00E4199A" w:rsidRDefault="005C16F2" w:rsidP="003B7895">
            <w:pPr>
              <w:tabs>
                <w:tab w:val="left" w:pos="0"/>
                <w:tab w:val="left" w:pos="540"/>
                <w:tab w:val="left" w:pos="1080"/>
                <w:tab w:val="right" w:leader="dot" w:pos="4680"/>
                <w:tab w:val="left" w:pos="5040"/>
                <w:tab w:val="right" w:pos="5310"/>
                <w:tab w:val="left" w:pos="5400"/>
                <w:tab w:val="right" w:pos="9720"/>
              </w:tabs>
              <w:rPr>
                <w:iCs/>
                <w:snapToGrid w:val="0"/>
                <w:color w:val="000000"/>
              </w:rPr>
            </w:pPr>
            <w:r w:rsidRPr="000861E0">
              <w:rPr>
                <w:i/>
                <w:iCs/>
                <w:color w:val="FF0000"/>
              </w:rPr>
              <w:fldChar w:fldCharType="begin">
                <w:ffData>
                  <w:name w:val="Check7"/>
                  <w:enabled/>
                  <w:calcOnExit w:val="0"/>
                  <w:checkBox>
                    <w:sizeAuto/>
                    <w:default w:val="0"/>
                  </w:checkBox>
                </w:ffData>
              </w:fldChar>
            </w:r>
            <w:r w:rsidRPr="000861E0">
              <w:rPr>
                <w:rFonts w:eastAsia="Times New Roman"/>
                <w:i/>
                <w:iCs/>
                <w:color w:val="FF0000"/>
              </w:rPr>
              <w:instrText xml:space="preserve"> FORMCHECKBOX </w:instrText>
            </w:r>
            <w:r w:rsidR="00D3542A">
              <w:rPr>
                <w:i/>
                <w:iCs/>
                <w:color w:val="FF0000"/>
              </w:rPr>
            </w:r>
            <w:r w:rsidR="00D3542A">
              <w:rPr>
                <w:i/>
                <w:iCs/>
                <w:color w:val="FF0000"/>
              </w:rPr>
              <w:fldChar w:fldCharType="separate"/>
            </w:r>
            <w:r w:rsidRPr="000861E0">
              <w:rPr>
                <w:i/>
                <w:color w:val="FF0000"/>
              </w:rPr>
              <w:fldChar w:fldCharType="end"/>
            </w:r>
            <w:r w:rsidRPr="00E4199A">
              <w:rPr>
                <w:rFonts w:eastAsia="Times New Roman"/>
                <w:i/>
                <w:color w:val="FF0000"/>
              </w:rPr>
              <w:t>CONTAINS NO HAZARDOUS MATERIALS (See SDS)</w:t>
            </w:r>
            <w:r>
              <w:rPr>
                <w:rFonts w:eastAsia="Times New Roman"/>
                <w:i/>
                <w:color w:val="FF0000"/>
              </w:rPr>
              <w:t xml:space="preserve">  </w:t>
            </w:r>
          </w:p>
        </w:tc>
      </w:tr>
      <w:tr w:rsidR="005C16F2" w14:paraId="38488700" w14:textId="77777777" w:rsidTr="003B7895">
        <w:tc>
          <w:tcPr>
            <w:tcW w:w="6228" w:type="dxa"/>
          </w:tcPr>
          <w:p w14:paraId="0D3BF1F3" w14:textId="77777777" w:rsidR="005C16F2" w:rsidRPr="00E4199A" w:rsidRDefault="005C16F2" w:rsidP="003B7895">
            <w:pPr>
              <w:tabs>
                <w:tab w:val="left" w:pos="0"/>
                <w:tab w:val="left" w:pos="540"/>
                <w:tab w:val="left" w:pos="1080"/>
                <w:tab w:val="right" w:leader="dot" w:pos="4680"/>
                <w:tab w:val="left" w:pos="5040"/>
                <w:tab w:val="right" w:pos="5310"/>
                <w:tab w:val="left" w:pos="5400"/>
                <w:tab w:val="right" w:pos="9720"/>
              </w:tabs>
              <w:rPr>
                <w:iCs/>
                <w:snapToGrid w:val="0"/>
                <w:color w:val="000000"/>
              </w:rPr>
            </w:pPr>
            <w:r w:rsidRPr="00E4199A">
              <w:rPr>
                <w:bCs/>
                <w:iCs/>
                <w:snapToGrid w:val="0"/>
                <w:color w:val="000000"/>
              </w:rPr>
              <w:t>Quantity to be used:</w:t>
            </w:r>
          </w:p>
        </w:tc>
        <w:tc>
          <w:tcPr>
            <w:tcW w:w="3780" w:type="dxa"/>
          </w:tcPr>
          <w:p w14:paraId="4FBD9D4E" w14:textId="77777777" w:rsidR="005C16F2" w:rsidRPr="00E4199A" w:rsidRDefault="005C16F2" w:rsidP="003B7895">
            <w:pPr>
              <w:tabs>
                <w:tab w:val="left" w:pos="0"/>
                <w:tab w:val="left" w:pos="540"/>
                <w:tab w:val="left" w:pos="1080"/>
                <w:tab w:val="right" w:leader="dot" w:pos="4680"/>
                <w:tab w:val="left" w:pos="5040"/>
                <w:tab w:val="right" w:pos="5310"/>
                <w:tab w:val="left" w:pos="5400"/>
                <w:tab w:val="right" w:pos="9720"/>
              </w:tabs>
              <w:rPr>
                <w:iCs/>
                <w:snapToGrid w:val="0"/>
                <w:color w:val="000000"/>
              </w:rPr>
            </w:pPr>
            <w:r w:rsidRPr="00E4199A">
              <w:rPr>
                <w:bCs/>
                <w:iCs/>
                <w:snapToGrid w:val="0"/>
                <w:color w:val="000000"/>
              </w:rPr>
              <w:t>Rate of Use:</w:t>
            </w:r>
          </w:p>
        </w:tc>
      </w:tr>
      <w:tr w:rsidR="005C16F2" w14:paraId="6BDC8F79" w14:textId="77777777" w:rsidTr="003B7895">
        <w:tc>
          <w:tcPr>
            <w:tcW w:w="6228" w:type="dxa"/>
          </w:tcPr>
          <w:p w14:paraId="516FDC12" w14:textId="77777777" w:rsidR="005C16F2" w:rsidRPr="00E4199A" w:rsidRDefault="005C16F2" w:rsidP="003B7895">
            <w:pPr>
              <w:tabs>
                <w:tab w:val="left" w:pos="0"/>
                <w:tab w:val="left" w:pos="540"/>
                <w:tab w:val="left" w:pos="1080"/>
                <w:tab w:val="right" w:leader="dot" w:pos="4680"/>
                <w:tab w:val="left" w:pos="5040"/>
                <w:tab w:val="right" w:pos="5310"/>
                <w:tab w:val="left" w:pos="5400"/>
                <w:tab w:val="right" w:pos="9720"/>
              </w:tabs>
              <w:rPr>
                <w:iCs/>
                <w:snapToGrid w:val="0"/>
                <w:color w:val="000000"/>
              </w:rPr>
            </w:pPr>
            <w:r w:rsidRPr="00E4199A">
              <w:rPr>
                <w:bCs/>
                <w:iCs/>
                <w:snapToGrid w:val="0"/>
                <w:color w:val="000000"/>
              </w:rPr>
              <w:t>Where will chemical be used?</w:t>
            </w:r>
          </w:p>
        </w:tc>
        <w:tc>
          <w:tcPr>
            <w:tcW w:w="3780" w:type="dxa"/>
          </w:tcPr>
          <w:p w14:paraId="4B5A8CE8" w14:textId="77777777" w:rsidR="005C16F2" w:rsidRPr="00E4199A" w:rsidRDefault="005C16F2" w:rsidP="003B7895">
            <w:pPr>
              <w:tabs>
                <w:tab w:val="left" w:pos="0"/>
                <w:tab w:val="left" w:pos="540"/>
                <w:tab w:val="left" w:pos="1080"/>
                <w:tab w:val="right" w:leader="dot" w:pos="4680"/>
                <w:tab w:val="left" w:pos="5040"/>
                <w:tab w:val="right" w:pos="5310"/>
                <w:tab w:val="left" w:pos="5400"/>
                <w:tab w:val="right" w:pos="9720"/>
              </w:tabs>
              <w:rPr>
                <w:iCs/>
                <w:snapToGrid w:val="0"/>
                <w:color w:val="000000"/>
              </w:rPr>
            </w:pPr>
            <w:r w:rsidRPr="00E4199A">
              <w:rPr>
                <w:bCs/>
                <w:iCs/>
                <w:snapToGrid w:val="0"/>
                <w:color w:val="000000"/>
              </w:rPr>
              <w:t>Bldg./Post:</w:t>
            </w:r>
          </w:p>
        </w:tc>
      </w:tr>
    </w:tbl>
    <w:p w14:paraId="07790414" w14:textId="77777777" w:rsidR="005C16F2" w:rsidRDefault="005C16F2" w:rsidP="005C16F2">
      <w:pPr>
        <w:pStyle w:val="Heading10"/>
        <w:keepNext w:val="0"/>
        <w:shd w:val="pct10" w:color="auto" w:fill="FFFFFF"/>
        <w:tabs>
          <w:tab w:val="center" w:pos="90"/>
          <w:tab w:val="center" w:pos="810"/>
        </w:tabs>
        <w:spacing w:before="120"/>
        <w:rPr>
          <w:rFonts w:ascii="Arial Narrow" w:hAnsi="Arial Narrow"/>
          <w:b/>
          <w:sz w:val="22"/>
        </w:rPr>
      </w:pPr>
      <w:r>
        <w:rPr>
          <w:rFonts w:ascii="Arial Narrow" w:hAnsi="Arial Narrow"/>
          <w:b/>
          <w:sz w:val="22"/>
        </w:rPr>
        <w:t>Process Description:</w:t>
      </w:r>
    </w:p>
    <w:p w14:paraId="489E3521" w14:textId="77777777" w:rsidR="005C16F2" w:rsidRPr="000861E0" w:rsidRDefault="00D3542A" w:rsidP="005C16F2">
      <w:pPr>
        <w:pStyle w:val="Heading4"/>
        <w:spacing w:before="120" w:line="300" w:lineRule="exact"/>
        <w:ind w:right="346"/>
        <w:rPr>
          <w:rFonts w:ascii="Arial" w:hAnsi="Arial" w:cs="Arial"/>
        </w:rPr>
      </w:pPr>
      <w:r>
        <w:rPr>
          <w:rFonts w:ascii="Arial" w:hAnsi="Arial" w:cs="Arial"/>
          <w:noProof/>
        </w:rPr>
        <w:pict w14:anchorId="47925870">
          <v:rect id="_x0000_s1033" style="position:absolute;margin-left:-9pt;margin-top:-.05pt;width:505.75pt;height:60.8pt;z-index:251661312" filled="f" strokeweight=".5pt"/>
        </w:pict>
      </w:r>
      <w:r w:rsidR="005C16F2" w:rsidRPr="000861E0">
        <w:rPr>
          <w:rFonts w:ascii="Arial" w:hAnsi="Arial" w:cs="Arial"/>
          <w:bCs/>
        </w:rPr>
        <w:t xml:space="preserve">Process chemical will be used in </w:t>
      </w:r>
    </w:p>
    <w:p w14:paraId="7868FFDD" w14:textId="77777777" w:rsidR="005C16F2" w:rsidRPr="000861E0" w:rsidRDefault="005C16F2" w:rsidP="005C16F2">
      <w:pPr>
        <w:ind w:right="-7"/>
        <w:rPr>
          <w:rFonts w:ascii="Arial" w:hAnsi="Arial" w:cs="Arial"/>
        </w:rPr>
      </w:pPr>
      <w:r w:rsidRPr="000861E0">
        <w:rPr>
          <w:rFonts w:ascii="Arial" w:hAnsi="Arial" w:cs="Arial"/>
        </w:rPr>
        <w:t xml:space="preserve">Method of storage:   </w:t>
      </w:r>
      <w:r w:rsidRPr="000861E0">
        <w:rPr>
          <w:rFonts w:ascii="Arial" w:hAnsi="Arial" w:cs="Arial"/>
        </w:rPr>
        <w:fldChar w:fldCharType="begin">
          <w:ffData>
            <w:name w:val="Check7"/>
            <w:enabled/>
            <w:calcOnExit w:val="0"/>
            <w:checkBox>
              <w:sizeAuto/>
              <w:default w:val="0"/>
            </w:checkBox>
          </w:ffData>
        </w:fldChar>
      </w:r>
      <w:r w:rsidRPr="000861E0">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0861E0">
        <w:rPr>
          <w:rFonts w:ascii="Arial" w:hAnsi="Arial" w:cs="Arial"/>
        </w:rPr>
        <w:fldChar w:fldCharType="end"/>
      </w:r>
      <w:r w:rsidRPr="000861E0">
        <w:rPr>
          <w:rFonts w:ascii="Arial" w:hAnsi="Arial" w:cs="Arial"/>
        </w:rPr>
        <w:t xml:space="preserve"> Chemical cabinet   </w:t>
      </w:r>
      <w:r w:rsidRPr="000861E0">
        <w:rPr>
          <w:rFonts w:ascii="Arial" w:hAnsi="Arial" w:cs="Arial"/>
        </w:rPr>
        <w:fldChar w:fldCharType="begin">
          <w:ffData>
            <w:name w:val="Check15"/>
            <w:enabled/>
            <w:calcOnExit w:val="0"/>
            <w:checkBox>
              <w:sizeAuto/>
              <w:default w:val="0"/>
            </w:checkBox>
          </w:ffData>
        </w:fldChar>
      </w:r>
      <w:bookmarkStart w:id="13" w:name="Check15"/>
      <w:r w:rsidRPr="000861E0">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0861E0">
        <w:rPr>
          <w:rFonts w:ascii="Arial" w:hAnsi="Arial" w:cs="Arial"/>
        </w:rPr>
        <w:fldChar w:fldCharType="end"/>
      </w:r>
      <w:bookmarkEnd w:id="13"/>
      <w:r w:rsidRPr="000861E0">
        <w:rPr>
          <w:rFonts w:ascii="Arial" w:hAnsi="Arial" w:cs="Arial"/>
        </w:rPr>
        <w:t xml:space="preserve">Tank     </w:t>
      </w:r>
      <w:r w:rsidRPr="000861E0">
        <w:rPr>
          <w:rFonts w:ascii="Arial" w:hAnsi="Arial" w:cs="Arial"/>
        </w:rPr>
        <w:fldChar w:fldCharType="begin">
          <w:ffData>
            <w:name w:val="Check16"/>
            <w:enabled/>
            <w:calcOnExit w:val="0"/>
            <w:checkBox>
              <w:sizeAuto/>
              <w:default w:val="0"/>
            </w:checkBox>
          </w:ffData>
        </w:fldChar>
      </w:r>
      <w:bookmarkStart w:id="14" w:name="Check16"/>
      <w:r w:rsidRPr="000861E0">
        <w:rPr>
          <w:rFonts w:ascii="Arial" w:hAnsi="Arial" w:cs="Arial"/>
        </w:rPr>
        <w:instrText xml:space="preserve"> FORMCHECKBOX </w:instrText>
      </w:r>
      <w:r w:rsidR="00D3542A">
        <w:rPr>
          <w:rFonts w:ascii="Arial" w:hAnsi="Arial" w:cs="Arial"/>
        </w:rPr>
      </w:r>
      <w:r w:rsidR="00D3542A">
        <w:rPr>
          <w:rFonts w:ascii="Arial" w:hAnsi="Arial" w:cs="Arial"/>
        </w:rPr>
        <w:fldChar w:fldCharType="separate"/>
      </w:r>
      <w:r w:rsidRPr="000861E0">
        <w:rPr>
          <w:rFonts w:ascii="Arial" w:hAnsi="Arial" w:cs="Arial"/>
        </w:rPr>
        <w:fldChar w:fldCharType="end"/>
      </w:r>
      <w:bookmarkEnd w:id="14"/>
      <w:r w:rsidRPr="000861E0">
        <w:rPr>
          <w:rFonts w:ascii="Arial" w:hAnsi="Arial" w:cs="Arial"/>
        </w:rPr>
        <w:t xml:space="preserve"> Other </w:t>
      </w:r>
      <w:r>
        <w:rPr>
          <w:rFonts w:ascii="Arial" w:hAnsi="Arial" w:cs="Arial"/>
        </w:rPr>
        <w:t>_________________________</w:t>
      </w:r>
    </w:p>
    <w:p w14:paraId="6F2CA90F" w14:textId="77777777" w:rsidR="005C16F2" w:rsidRPr="000861E0" w:rsidRDefault="005C16F2" w:rsidP="005C16F2">
      <w:pPr>
        <w:pStyle w:val="Heading4"/>
        <w:spacing w:before="120"/>
        <w:ind w:right="346"/>
        <w:rPr>
          <w:rFonts w:ascii="Arial" w:hAnsi="Arial" w:cs="Arial"/>
          <w:szCs w:val="24"/>
        </w:rPr>
      </w:pPr>
      <w:r w:rsidRPr="000861E0">
        <w:rPr>
          <w:rFonts w:ascii="Arial" w:hAnsi="Arial" w:cs="Arial"/>
          <w:bCs/>
        </w:rPr>
        <w:t>Method of disposal: ____________________________________________________________________</w:t>
      </w:r>
    </w:p>
    <w:p w14:paraId="1F5E9452" w14:textId="77777777" w:rsidR="005C16F2" w:rsidRPr="000861E0" w:rsidRDefault="005C16F2" w:rsidP="005C16F2">
      <w:pPr>
        <w:pStyle w:val="List"/>
        <w:tabs>
          <w:tab w:val="clear" w:pos="0"/>
          <w:tab w:val="clear" w:pos="540"/>
          <w:tab w:val="clear" w:pos="1080"/>
          <w:tab w:val="clear" w:pos="4680"/>
          <w:tab w:val="clear" w:pos="5040"/>
          <w:tab w:val="clear" w:pos="5400"/>
          <w:tab w:val="clear" w:pos="7920"/>
          <w:tab w:val="right" w:leader="dot" w:pos="3600"/>
          <w:tab w:val="left" w:pos="3960"/>
          <w:tab w:val="right" w:leader="dot" w:pos="6480"/>
          <w:tab w:val="left" w:pos="6840"/>
        </w:tabs>
        <w:spacing w:before="0"/>
        <w:rPr>
          <w:rFonts w:ascii="Arial" w:hAnsi="Arial" w:cs="Arial"/>
          <w:sz w:val="16"/>
        </w:rPr>
      </w:pPr>
      <w:r w:rsidRPr="000861E0">
        <w:rPr>
          <w:rFonts w:ascii="Arial" w:hAnsi="Arial" w:cs="Arial"/>
          <w:sz w:val="16"/>
        </w:rPr>
        <w:t>Attach additional "Contractor Chemical Use Forms" for hazardous substances as necessary.</w:t>
      </w:r>
    </w:p>
    <w:p w14:paraId="0A6CC89D" w14:textId="77777777" w:rsidR="005C16F2" w:rsidRPr="00F320DE" w:rsidRDefault="005C16F2" w:rsidP="005C16F2">
      <w:pPr>
        <w:pStyle w:val="Heading10"/>
        <w:keepNext w:val="0"/>
        <w:pBdr>
          <w:top w:val="single" w:sz="4" w:space="1" w:color="auto"/>
          <w:left w:val="single" w:sz="4" w:space="8" w:color="auto"/>
          <w:bottom w:val="single" w:sz="4" w:space="1" w:color="auto"/>
          <w:right w:val="single" w:sz="4" w:space="1" w:color="auto"/>
        </w:pBdr>
        <w:shd w:val="pct10" w:color="auto" w:fill="FFFFFF"/>
        <w:tabs>
          <w:tab w:val="center" w:pos="90"/>
          <w:tab w:val="center" w:pos="810"/>
        </w:tabs>
        <w:spacing w:before="120"/>
        <w:jc w:val="center"/>
        <w:rPr>
          <w:rFonts w:ascii="Arial" w:hAnsi="Arial" w:cs="Arial"/>
          <w:b/>
          <w:sz w:val="22"/>
        </w:rPr>
      </w:pPr>
      <w:r w:rsidRPr="00F320DE">
        <w:rPr>
          <w:rFonts w:ascii="Arial" w:hAnsi="Arial" w:cs="Arial"/>
          <w:b/>
          <w:sz w:val="22"/>
        </w:rPr>
        <w:t>Agilent Technologies, Global Workplace Services EHS Approval</w:t>
      </w:r>
    </w:p>
    <w:p w14:paraId="0A58D2B4" w14:textId="77777777" w:rsidR="005C16F2" w:rsidRPr="002D015E" w:rsidRDefault="005C16F2" w:rsidP="005C16F2">
      <w:pPr>
        <w:pBdr>
          <w:top w:val="single" w:sz="4" w:space="1" w:color="auto"/>
          <w:left w:val="single" w:sz="4" w:space="8" w:color="auto"/>
          <w:bottom w:val="single" w:sz="4" w:space="1" w:color="auto"/>
          <w:right w:val="single" w:sz="4" w:space="1" w:color="auto"/>
        </w:pBdr>
        <w:tabs>
          <w:tab w:val="left" w:pos="0"/>
          <w:tab w:val="left" w:pos="540"/>
          <w:tab w:val="left" w:pos="1080"/>
          <w:tab w:val="right" w:leader="dot" w:pos="4680"/>
          <w:tab w:val="left" w:pos="5040"/>
          <w:tab w:val="left" w:pos="5400"/>
          <w:tab w:val="right" w:pos="7920"/>
          <w:tab w:val="right" w:leader="dot" w:pos="9720"/>
        </w:tabs>
        <w:spacing w:before="60"/>
        <w:rPr>
          <w:rFonts w:ascii="Arial" w:hAnsi="Arial" w:cs="Arial"/>
          <w:sz w:val="16"/>
          <w:szCs w:val="16"/>
        </w:rPr>
      </w:pPr>
      <w:r w:rsidRPr="002D015E">
        <w:rPr>
          <w:rFonts w:ascii="Arial" w:hAnsi="Arial" w:cs="Arial"/>
          <w:sz w:val="16"/>
          <w:szCs w:val="16"/>
        </w:rPr>
        <w:t>Agilent's EHS approval signifies permission to bring the hazardous chemical on site.</w:t>
      </w:r>
    </w:p>
    <w:p w14:paraId="0C98088E" w14:textId="77777777" w:rsidR="005C16F2" w:rsidRPr="002D015E" w:rsidRDefault="005C16F2" w:rsidP="005C16F2">
      <w:pPr>
        <w:pBdr>
          <w:top w:val="single" w:sz="4" w:space="1" w:color="auto"/>
          <w:left w:val="single" w:sz="4" w:space="8" w:color="auto"/>
          <w:bottom w:val="single" w:sz="4" w:space="1" w:color="auto"/>
          <w:right w:val="single" w:sz="4" w:space="1" w:color="auto"/>
        </w:pBdr>
        <w:tabs>
          <w:tab w:val="left" w:pos="0"/>
          <w:tab w:val="left" w:pos="540"/>
          <w:tab w:val="left" w:pos="1080"/>
          <w:tab w:val="right" w:leader="dot" w:pos="4680"/>
          <w:tab w:val="left" w:pos="5040"/>
          <w:tab w:val="left" w:pos="5400"/>
          <w:tab w:val="right" w:pos="7920"/>
          <w:tab w:val="right" w:leader="dot" w:pos="9720"/>
        </w:tabs>
        <w:spacing w:before="60"/>
        <w:rPr>
          <w:rFonts w:ascii="Arial" w:hAnsi="Arial" w:cs="Arial"/>
          <w:sz w:val="16"/>
          <w:szCs w:val="16"/>
        </w:rPr>
      </w:pPr>
      <w:r w:rsidRPr="002D015E">
        <w:rPr>
          <w:rFonts w:ascii="Arial" w:hAnsi="Arial" w:cs="Arial"/>
          <w:sz w:val="16"/>
          <w:szCs w:val="16"/>
        </w:rPr>
        <w:t>The Contractor shall retain sole responsibility to comply with applicable laws and regulations governing the use and disposal of chemicals.</w:t>
      </w:r>
    </w:p>
    <w:p w14:paraId="3F8CD5CD" w14:textId="77777777" w:rsidR="005C16F2" w:rsidRPr="002D015E" w:rsidRDefault="005C16F2" w:rsidP="005C16F2">
      <w:pPr>
        <w:pBdr>
          <w:top w:val="single" w:sz="4" w:space="1" w:color="auto"/>
          <w:left w:val="single" w:sz="4" w:space="8" w:color="auto"/>
          <w:bottom w:val="single" w:sz="4" w:space="1" w:color="auto"/>
          <w:right w:val="single" w:sz="4" w:space="1" w:color="auto"/>
        </w:pBdr>
        <w:tabs>
          <w:tab w:val="left" w:pos="0"/>
          <w:tab w:val="left" w:pos="540"/>
          <w:tab w:val="left" w:pos="1080"/>
          <w:tab w:val="right" w:leader="dot" w:pos="4680"/>
          <w:tab w:val="left" w:pos="5040"/>
          <w:tab w:val="left" w:pos="5400"/>
          <w:tab w:val="right" w:pos="7920"/>
          <w:tab w:val="right" w:leader="dot" w:pos="9720"/>
        </w:tabs>
        <w:spacing w:before="60"/>
        <w:rPr>
          <w:rFonts w:ascii="Arial Narrow" w:hAnsi="Arial Narrow" w:cs="Arial"/>
          <w:sz w:val="16"/>
          <w:szCs w:val="16"/>
        </w:rPr>
      </w:pPr>
      <w:r w:rsidRPr="002D015E">
        <w:rPr>
          <w:rFonts w:ascii="Arial" w:hAnsi="Arial" w:cs="Arial"/>
          <w:sz w:val="16"/>
          <w:szCs w:val="16"/>
        </w:rPr>
        <w:t>The Contractor shall coordinate hazard communication to occupants in or near areas of their hazardous substance(s) use with the Agilent Project Manager.</w:t>
      </w:r>
    </w:p>
    <w:p w14:paraId="18F2E561" w14:textId="77777777" w:rsidR="005C16F2" w:rsidRPr="002D015E" w:rsidRDefault="005C16F2" w:rsidP="005C16F2">
      <w:pPr>
        <w:pBdr>
          <w:top w:val="single" w:sz="4" w:space="1" w:color="auto"/>
          <w:left w:val="single" w:sz="4" w:space="8" w:color="auto"/>
          <w:bottom w:val="single" w:sz="4" w:space="1" w:color="auto"/>
          <w:right w:val="single" w:sz="4" w:space="1" w:color="auto"/>
        </w:pBdr>
        <w:tabs>
          <w:tab w:val="left" w:pos="0"/>
          <w:tab w:val="left" w:pos="540"/>
          <w:tab w:val="left" w:pos="1080"/>
          <w:tab w:val="right" w:leader="dot" w:pos="5310"/>
          <w:tab w:val="left" w:pos="5580"/>
          <w:tab w:val="right" w:pos="5850"/>
          <w:tab w:val="right" w:leader="dot" w:pos="9270"/>
        </w:tabs>
        <w:spacing w:before="120"/>
        <w:rPr>
          <w:rFonts w:ascii="Arial" w:hAnsi="Arial" w:cs="Arial"/>
        </w:rPr>
      </w:pPr>
      <w:r w:rsidRPr="002D015E">
        <w:rPr>
          <w:rFonts w:ascii="Arial" w:hAnsi="Arial" w:cs="Arial"/>
        </w:rPr>
        <w:t xml:space="preserve">EHS Approval for Use: ________________________________________________  Date: </w:t>
      </w:r>
      <w:r w:rsidRPr="002D015E">
        <w:rPr>
          <w:rFonts w:ascii="Arial" w:hAnsi="Arial" w:cs="Arial"/>
          <w:u w:val="single"/>
        </w:rPr>
        <w:fldChar w:fldCharType="begin">
          <w:ffData>
            <w:name w:val="Text25"/>
            <w:enabled/>
            <w:calcOnExit w:val="0"/>
            <w:textInput/>
          </w:ffData>
        </w:fldChar>
      </w:r>
      <w:bookmarkStart w:id="15" w:name="Text25"/>
      <w:r w:rsidRPr="002D015E">
        <w:rPr>
          <w:rFonts w:ascii="Arial" w:hAnsi="Arial" w:cs="Arial"/>
          <w:u w:val="single"/>
        </w:rPr>
        <w:instrText xml:space="preserve"> FORMTEXT </w:instrText>
      </w:r>
      <w:r w:rsidRPr="002D015E">
        <w:rPr>
          <w:rFonts w:ascii="Arial" w:hAnsi="Arial" w:cs="Arial"/>
          <w:u w:val="single"/>
        </w:rPr>
      </w:r>
      <w:r w:rsidRPr="002D015E">
        <w:rPr>
          <w:rFonts w:ascii="Arial" w:hAnsi="Arial" w:cs="Arial"/>
          <w:u w:val="single"/>
        </w:rPr>
        <w:fldChar w:fldCharType="separate"/>
      </w:r>
      <w:r w:rsidRPr="002D015E">
        <w:rPr>
          <w:rFonts w:ascii="Arial Narrow" w:hAnsi="Arial Narrow" w:cs="Arial"/>
          <w:noProof/>
          <w:u w:val="single"/>
        </w:rPr>
        <w:t> </w:t>
      </w:r>
      <w:r w:rsidRPr="002D015E">
        <w:rPr>
          <w:rFonts w:ascii="Arial" w:hAnsi="Arial" w:cs="Arial"/>
          <w:noProof/>
          <w:u w:val="single"/>
        </w:rPr>
        <w:t>_____________</w:t>
      </w:r>
      <w:r w:rsidRPr="002D015E">
        <w:rPr>
          <w:rFonts w:ascii="Arial" w:hAnsi="Arial" w:cs="Arial"/>
          <w:u w:val="single"/>
        </w:rPr>
        <w:fldChar w:fldCharType="end"/>
      </w:r>
      <w:bookmarkEnd w:id="15"/>
    </w:p>
    <w:p w14:paraId="39566DCA" w14:textId="77777777" w:rsidR="005C16F2" w:rsidRPr="002D015E" w:rsidRDefault="005C16F2" w:rsidP="005C16F2">
      <w:pPr>
        <w:pBdr>
          <w:top w:val="single" w:sz="4" w:space="1" w:color="auto"/>
          <w:left w:val="single" w:sz="4" w:space="8" w:color="auto"/>
          <w:bottom w:val="single" w:sz="4" w:space="1" w:color="auto"/>
          <w:right w:val="single" w:sz="4" w:space="1" w:color="auto"/>
        </w:pBdr>
        <w:tabs>
          <w:tab w:val="left" w:pos="0"/>
          <w:tab w:val="right" w:leader="dot" w:pos="9270"/>
        </w:tabs>
        <w:spacing w:before="120"/>
        <w:rPr>
          <w:rFonts w:ascii="Arial" w:hAnsi="Arial" w:cs="Arial"/>
        </w:rPr>
      </w:pPr>
      <w:r w:rsidRPr="002D015E">
        <w:rPr>
          <w:rFonts w:ascii="Arial" w:hAnsi="Arial" w:cs="Arial"/>
        </w:rPr>
        <w:t>Special EHS Comments/Considerations/Requirements: ________________________________________________________________________________________________________________________________________________________________________________</w:t>
      </w:r>
    </w:p>
    <w:p w14:paraId="43BEB706" w14:textId="77777777" w:rsidR="005C16F2" w:rsidRPr="002D015E" w:rsidRDefault="005C16F2" w:rsidP="005C16F2">
      <w:pPr>
        <w:pBdr>
          <w:top w:val="single" w:sz="4" w:space="1" w:color="auto"/>
          <w:left w:val="single" w:sz="4" w:space="8" w:color="auto"/>
          <w:bottom w:val="single" w:sz="4" w:space="1" w:color="auto"/>
          <w:right w:val="single" w:sz="4" w:space="1" w:color="auto"/>
        </w:pBdr>
        <w:tabs>
          <w:tab w:val="left" w:pos="0"/>
          <w:tab w:val="left" w:pos="7110"/>
          <w:tab w:val="right" w:leader="dot" w:pos="9270"/>
        </w:tabs>
        <w:spacing w:before="120"/>
        <w:rPr>
          <w:rFonts w:ascii="Arial" w:hAnsi="Arial" w:cs="Arial"/>
          <w:bCs/>
          <w:caps/>
          <w:sz w:val="28"/>
        </w:rPr>
      </w:pPr>
      <w:r w:rsidRPr="002D015E">
        <w:rPr>
          <w:rFonts w:ascii="Arial" w:hAnsi="Arial" w:cs="Arial"/>
        </w:rPr>
        <w:t>Contractor Management Representative: ____________________________</w:t>
      </w:r>
      <w:r>
        <w:rPr>
          <w:rFonts w:ascii="Arial" w:hAnsi="Arial" w:cs="Arial"/>
        </w:rPr>
        <w:t>___</w:t>
      </w:r>
      <w:r w:rsidRPr="002D015E">
        <w:rPr>
          <w:rFonts w:ascii="Arial" w:hAnsi="Arial" w:cs="Arial"/>
        </w:rPr>
        <w:t>___</w:t>
      </w:r>
      <w:r w:rsidRPr="002D015E">
        <w:rPr>
          <w:rFonts w:ascii="Arial" w:hAnsi="Arial" w:cs="Arial"/>
          <w:u w:val="single"/>
        </w:rPr>
        <w:fldChar w:fldCharType="begin">
          <w:ffData>
            <w:name w:val="Text20"/>
            <w:enabled/>
            <w:calcOnExit w:val="0"/>
            <w:textInput/>
          </w:ffData>
        </w:fldChar>
      </w:r>
      <w:bookmarkStart w:id="16" w:name="Text20"/>
      <w:r w:rsidRPr="002D015E">
        <w:rPr>
          <w:rFonts w:ascii="Arial" w:hAnsi="Arial" w:cs="Arial"/>
          <w:u w:val="single"/>
        </w:rPr>
        <w:instrText xml:space="preserve"> FORMTEXT </w:instrText>
      </w:r>
      <w:r w:rsidR="00D3542A">
        <w:rPr>
          <w:rFonts w:ascii="Arial" w:hAnsi="Arial" w:cs="Arial"/>
          <w:u w:val="single"/>
        </w:rPr>
      </w:r>
      <w:r w:rsidR="00D3542A">
        <w:rPr>
          <w:rFonts w:ascii="Arial" w:hAnsi="Arial" w:cs="Arial"/>
          <w:u w:val="single"/>
        </w:rPr>
        <w:fldChar w:fldCharType="separate"/>
      </w:r>
      <w:r w:rsidRPr="002D015E">
        <w:rPr>
          <w:rFonts w:ascii="Arial" w:hAnsi="Arial" w:cs="Arial"/>
          <w:u w:val="single"/>
        </w:rPr>
        <w:fldChar w:fldCharType="end"/>
      </w:r>
      <w:bookmarkEnd w:id="16"/>
      <w:r w:rsidRPr="002D015E">
        <w:rPr>
          <w:rFonts w:ascii="Arial" w:hAnsi="Arial" w:cs="Arial"/>
        </w:rPr>
        <w:t xml:space="preserve">  Date: </w:t>
      </w:r>
      <w:r>
        <w:rPr>
          <w:rFonts w:ascii="Arial" w:hAnsi="Arial" w:cs="Arial"/>
        </w:rPr>
        <w:t>______________</w:t>
      </w:r>
      <w:r w:rsidRPr="002D015E">
        <w:rPr>
          <w:rFonts w:ascii="Arial" w:hAnsi="Arial" w:cs="Arial"/>
          <w:u w:val="single"/>
        </w:rPr>
        <w:fldChar w:fldCharType="begin">
          <w:ffData>
            <w:name w:val="Text21"/>
            <w:enabled/>
            <w:calcOnExit w:val="0"/>
            <w:textInput/>
          </w:ffData>
        </w:fldChar>
      </w:r>
      <w:bookmarkStart w:id="17" w:name="Text21"/>
      <w:r w:rsidRPr="002D015E">
        <w:rPr>
          <w:rFonts w:ascii="Arial" w:hAnsi="Arial" w:cs="Arial"/>
          <w:u w:val="single"/>
        </w:rPr>
        <w:instrText xml:space="preserve"> FORMTEXT </w:instrText>
      </w:r>
      <w:r w:rsidR="00D3542A">
        <w:rPr>
          <w:rFonts w:ascii="Arial" w:hAnsi="Arial" w:cs="Arial"/>
          <w:u w:val="single"/>
        </w:rPr>
      </w:r>
      <w:r w:rsidR="00D3542A">
        <w:rPr>
          <w:rFonts w:ascii="Arial" w:hAnsi="Arial" w:cs="Arial"/>
          <w:u w:val="single"/>
        </w:rPr>
        <w:fldChar w:fldCharType="separate"/>
      </w:r>
      <w:r w:rsidRPr="002D015E">
        <w:rPr>
          <w:rFonts w:ascii="Arial" w:hAnsi="Arial" w:cs="Arial"/>
          <w:u w:val="single"/>
        </w:rPr>
        <w:fldChar w:fldCharType="end"/>
      </w:r>
      <w:bookmarkEnd w:id="17"/>
    </w:p>
    <w:p w14:paraId="06803674" w14:textId="77777777" w:rsidR="005C16F2" w:rsidRDefault="005C16F2" w:rsidP="005C16F2">
      <w:pPr>
        <w:pStyle w:val="Heading3"/>
        <w:spacing w:after="120"/>
        <w:rPr>
          <w:rFonts w:ascii="Univers Condensed" w:hAnsi="Univers Condensed"/>
          <w:bCs/>
          <w:caps/>
        </w:rPr>
      </w:pPr>
      <w:r>
        <w:rPr>
          <w:rFonts w:ascii="Univers Condensed" w:hAnsi="Univers Condensed"/>
          <w:bCs/>
          <w:caps/>
        </w:rPr>
        <w:lastRenderedPageBreak/>
        <w:t>Appendix C</w:t>
      </w:r>
      <w:r>
        <w:rPr>
          <w:rFonts w:ascii="Univers Condensed" w:hAnsi="Univers Condensed"/>
          <w:bCs/>
          <w:caps/>
        </w:rPr>
        <w:tab/>
      </w:r>
    </w:p>
    <w:p w14:paraId="7FB5A860" w14:textId="77777777" w:rsidR="005C16F2" w:rsidRDefault="005C16F2" w:rsidP="005C16F2">
      <w:pPr>
        <w:pStyle w:val="Heading3"/>
        <w:rPr>
          <w:rFonts w:ascii="Univers Condensed" w:hAnsi="Univers Condensed"/>
          <w:bCs/>
          <w:caps/>
        </w:rPr>
      </w:pPr>
      <w:r>
        <w:rPr>
          <w:rFonts w:ascii="Univers Condensed" w:hAnsi="Univers Condensed"/>
          <w:bCs/>
          <w:caps/>
        </w:rPr>
        <w:t>Site Specific Requirements / Procedures / Instructions</w:t>
      </w:r>
    </w:p>
    <w:p w14:paraId="77095977" w14:textId="77777777" w:rsidR="005C16F2" w:rsidRDefault="005C16F2" w:rsidP="005C16F2">
      <w:pPr>
        <w:rPr>
          <w:rFonts w:ascii="Univers Condensed" w:hAnsi="Univers Condensed"/>
          <w:sz w:val="28"/>
        </w:rPr>
      </w:pPr>
    </w:p>
    <w:p w14:paraId="3CBA2E54" w14:textId="77777777" w:rsidR="005C16F2" w:rsidRDefault="005C16F2" w:rsidP="005C16F2">
      <w:pPr>
        <w:rPr>
          <w:rFonts w:ascii="ITCCenturyBookT" w:hAnsi="ITCCenturyBookT"/>
          <w:sz w:val="22"/>
        </w:rPr>
      </w:pPr>
      <w:r>
        <w:rPr>
          <w:rFonts w:ascii="ITCCenturyBookT" w:hAnsi="ITCCenturyBookT"/>
          <w:sz w:val="22"/>
        </w:rPr>
        <w:t xml:space="preserve">Local EHS Staff have created separate attachments containing site specific information on the following topics.  See web link at </w:t>
      </w:r>
      <w:hyperlink r:id="rId19" w:history="1">
        <w:r w:rsidRPr="0095661C">
          <w:rPr>
            <w:rStyle w:val="Hyperlink"/>
            <w:rFonts w:ascii="ITCCenturyBookT" w:hAnsi="ITCCenturyBookT"/>
            <w:sz w:val="22"/>
          </w:rPr>
          <w:t>https://wps.service.agilent.com/global_ehs/contractor_mgmt/contractor_safety/index.htm</w:t>
        </w:r>
      </w:hyperlink>
    </w:p>
    <w:p w14:paraId="4D902F58" w14:textId="77777777" w:rsidR="005C16F2" w:rsidRDefault="005C16F2" w:rsidP="005C16F2">
      <w:pPr>
        <w:rPr>
          <w:rFonts w:ascii="ITCCenturyBookT" w:hAnsi="ITCCenturyBookT"/>
          <w:sz w:val="22"/>
        </w:rPr>
      </w:pPr>
    </w:p>
    <w:p w14:paraId="2F753336" w14:textId="77777777" w:rsidR="005C16F2" w:rsidRDefault="005C16F2" w:rsidP="005C16F2">
      <w:pPr>
        <w:ind w:firstLine="720"/>
        <w:rPr>
          <w:rFonts w:ascii="ITCCenturyBookT" w:hAnsi="ITCCenturyBookT"/>
          <w:sz w:val="22"/>
        </w:rPr>
      </w:pPr>
      <w:r>
        <w:rPr>
          <w:rFonts w:ascii="ITCCenturyBookT" w:hAnsi="ITCCenturyBookT"/>
          <w:sz w:val="22"/>
        </w:rPr>
        <w:t xml:space="preserve">Emergency Phone Number </w:t>
      </w:r>
    </w:p>
    <w:p w14:paraId="3E3A7C34" w14:textId="77777777" w:rsidR="005C16F2" w:rsidRDefault="005C16F2" w:rsidP="005C16F2">
      <w:pPr>
        <w:ind w:firstLine="720"/>
        <w:rPr>
          <w:rFonts w:ascii="ITCCenturyBookT" w:hAnsi="ITCCenturyBookT"/>
          <w:sz w:val="22"/>
        </w:rPr>
      </w:pPr>
      <w:r>
        <w:rPr>
          <w:rFonts w:ascii="ITCCenturyBookT" w:hAnsi="ITCCenturyBookT"/>
          <w:sz w:val="22"/>
        </w:rPr>
        <w:t>Evacuation Procedures</w:t>
      </w:r>
    </w:p>
    <w:p w14:paraId="64BBABB5" w14:textId="77777777" w:rsidR="005C16F2" w:rsidRDefault="005C16F2" w:rsidP="005C16F2">
      <w:pPr>
        <w:ind w:firstLine="720"/>
        <w:rPr>
          <w:rFonts w:ascii="ITCCenturyBookT" w:hAnsi="ITCCenturyBookT"/>
          <w:sz w:val="22"/>
        </w:rPr>
      </w:pPr>
      <w:r>
        <w:rPr>
          <w:rFonts w:ascii="ITCCenturyBookT" w:hAnsi="ITCCenturyBookT"/>
          <w:sz w:val="22"/>
        </w:rPr>
        <w:t>Hazard Communication Information Exchange</w:t>
      </w:r>
    </w:p>
    <w:p w14:paraId="0EB73046" w14:textId="77777777" w:rsidR="005C16F2" w:rsidRDefault="005C16F2" w:rsidP="005C16F2">
      <w:pPr>
        <w:ind w:firstLine="720"/>
        <w:rPr>
          <w:rFonts w:ascii="ITCCenturyBookT" w:hAnsi="ITCCenturyBookT"/>
          <w:sz w:val="22"/>
        </w:rPr>
      </w:pPr>
      <w:r>
        <w:rPr>
          <w:rFonts w:ascii="ITCCenturyBookT" w:hAnsi="ITCCenturyBookT"/>
          <w:sz w:val="22"/>
        </w:rPr>
        <w:t>Smoking Areas</w:t>
      </w:r>
    </w:p>
    <w:p w14:paraId="24C3A807" w14:textId="77777777" w:rsidR="005C16F2" w:rsidRDefault="005C16F2" w:rsidP="005C16F2">
      <w:pPr>
        <w:ind w:firstLine="720"/>
        <w:rPr>
          <w:rFonts w:ascii="ITCCenturyBookT" w:hAnsi="ITCCenturyBookT"/>
          <w:sz w:val="22"/>
        </w:rPr>
      </w:pPr>
      <w:r>
        <w:rPr>
          <w:rFonts w:ascii="ITCCenturyBookT" w:hAnsi="ITCCenturyBookT"/>
          <w:sz w:val="22"/>
        </w:rPr>
        <w:t>Area Specific Clean Room Protocol</w:t>
      </w:r>
    </w:p>
    <w:p w14:paraId="0111C9AC" w14:textId="77777777" w:rsidR="005C16F2" w:rsidRDefault="005C16F2" w:rsidP="005C16F2">
      <w:pPr>
        <w:ind w:firstLine="720"/>
        <w:rPr>
          <w:rFonts w:ascii="ITCCenturyBookT" w:hAnsi="ITCCenturyBookT"/>
          <w:sz w:val="22"/>
        </w:rPr>
      </w:pPr>
      <w:r>
        <w:rPr>
          <w:rFonts w:ascii="ITCCenturyBookT" w:hAnsi="ITCCenturyBookT"/>
          <w:sz w:val="22"/>
        </w:rPr>
        <w:t>New Equipment Purchasing Procedures</w:t>
      </w:r>
    </w:p>
    <w:p w14:paraId="227276A5" w14:textId="77777777" w:rsidR="005C16F2" w:rsidRDefault="005C16F2" w:rsidP="005C16F2">
      <w:pPr>
        <w:ind w:firstLine="720"/>
        <w:rPr>
          <w:rFonts w:ascii="ITCCenturyBookT" w:hAnsi="ITCCenturyBookT"/>
          <w:sz w:val="22"/>
        </w:rPr>
      </w:pPr>
      <w:r>
        <w:rPr>
          <w:rFonts w:ascii="ITCCenturyBookT" w:hAnsi="ITCCenturyBookT"/>
          <w:sz w:val="22"/>
        </w:rPr>
        <w:t>Asbestos Containing Building Material information</w:t>
      </w:r>
    </w:p>
    <w:p w14:paraId="1C3E6366" w14:textId="77777777" w:rsidR="005C16F2" w:rsidRDefault="005C16F2" w:rsidP="005C16F2">
      <w:pPr>
        <w:ind w:firstLine="720"/>
        <w:rPr>
          <w:rFonts w:ascii="ITCCenturyBookT" w:hAnsi="ITCCenturyBookT"/>
          <w:sz w:val="22"/>
        </w:rPr>
      </w:pPr>
      <w:r>
        <w:rPr>
          <w:rFonts w:ascii="ITCCenturyBookT" w:hAnsi="ITCCenturyBookT"/>
          <w:sz w:val="22"/>
        </w:rPr>
        <w:t>Lead Containing Building Materials information</w:t>
      </w:r>
    </w:p>
    <w:p w14:paraId="2077FBAA" w14:textId="77777777" w:rsidR="005C16F2" w:rsidRDefault="005C16F2" w:rsidP="005C16F2">
      <w:pPr>
        <w:ind w:firstLine="720"/>
        <w:rPr>
          <w:rFonts w:ascii="ITCCenturyBookT" w:hAnsi="ITCCenturyBookT"/>
          <w:sz w:val="22"/>
        </w:rPr>
      </w:pPr>
      <w:r>
        <w:rPr>
          <w:rFonts w:ascii="ITCCenturyBookT" w:hAnsi="ITCCenturyBookT"/>
          <w:sz w:val="22"/>
        </w:rPr>
        <w:t>Decontamination Procedures</w:t>
      </w:r>
    </w:p>
    <w:p w14:paraId="35FE5C0C" w14:textId="77777777" w:rsidR="005C16F2" w:rsidRDefault="005C16F2" w:rsidP="005C16F2">
      <w:pPr>
        <w:ind w:firstLine="720"/>
        <w:rPr>
          <w:rFonts w:ascii="ITCCenturyBookT" w:hAnsi="ITCCenturyBookT"/>
          <w:sz w:val="22"/>
        </w:rPr>
      </w:pPr>
      <w:r>
        <w:rPr>
          <w:rFonts w:ascii="ITCCenturyBookT" w:hAnsi="ITCCenturyBookT"/>
          <w:sz w:val="22"/>
        </w:rPr>
        <w:t>Construction Material Disposal Procedures</w:t>
      </w:r>
    </w:p>
    <w:p w14:paraId="7A1E0BCA" w14:textId="77777777" w:rsidR="005C16F2" w:rsidRDefault="005C16F2" w:rsidP="005C16F2">
      <w:pPr>
        <w:ind w:firstLine="720"/>
        <w:rPr>
          <w:rFonts w:ascii="ITCCenturyBookT" w:hAnsi="ITCCenturyBookT"/>
          <w:sz w:val="22"/>
        </w:rPr>
      </w:pPr>
      <w:r>
        <w:rPr>
          <w:rFonts w:ascii="ITCCenturyBookT" w:hAnsi="ITCCenturyBookT"/>
          <w:sz w:val="22"/>
        </w:rPr>
        <w:t>Confined Space Inventory &amp; Hazard Evaluation information</w:t>
      </w:r>
    </w:p>
    <w:p w14:paraId="6DB73B4B" w14:textId="77777777" w:rsidR="005C16F2" w:rsidRDefault="005C16F2" w:rsidP="005C16F2">
      <w:pPr>
        <w:ind w:firstLine="720"/>
        <w:rPr>
          <w:rFonts w:ascii="ITCCenturyBookT" w:hAnsi="ITCCenturyBookT"/>
          <w:sz w:val="22"/>
        </w:rPr>
      </w:pPr>
      <w:r>
        <w:rPr>
          <w:rFonts w:ascii="ITCCenturyBookT" w:hAnsi="ITCCenturyBookT"/>
          <w:sz w:val="22"/>
        </w:rPr>
        <w:t>Fire System Work Procedures</w:t>
      </w:r>
    </w:p>
    <w:p w14:paraId="296A9047" w14:textId="77777777" w:rsidR="005C16F2" w:rsidRDefault="005C16F2" w:rsidP="005C16F2">
      <w:pPr>
        <w:ind w:firstLine="720"/>
        <w:rPr>
          <w:rFonts w:ascii="ITCCenturyBookT" w:hAnsi="ITCCenturyBookT"/>
          <w:sz w:val="22"/>
        </w:rPr>
      </w:pPr>
      <w:r>
        <w:rPr>
          <w:rFonts w:ascii="ITCCenturyBookT" w:hAnsi="ITCCenturyBookT"/>
          <w:sz w:val="22"/>
        </w:rPr>
        <w:t>Hot Work Permit procedures</w:t>
      </w:r>
    </w:p>
    <w:p w14:paraId="782DBA26" w14:textId="77777777" w:rsidR="005C16F2" w:rsidRDefault="005C16F2" w:rsidP="005C16F2">
      <w:pPr>
        <w:ind w:firstLine="720"/>
        <w:rPr>
          <w:rFonts w:ascii="ITCCenturyBookT" w:hAnsi="ITCCenturyBookT"/>
          <w:sz w:val="22"/>
        </w:rPr>
      </w:pPr>
      <w:r>
        <w:rPr>
          <w:rFonts w:ascii="ITCCenturyBookT" w:hAnsi="ITCCenturyBookT"/>
          <w:sz w:val="22"/>
        </w:rPr>
        <w:t>Crane / Helicopter Lift Permit procedures</w:t>
      </w:r>
    </w:p>
    <w:p w14:paraId="0D4B3327" w14:textId="77777777" w:rsidR="005C16F2" w:rsidRDefault="005C16F2" w:rsidP="005C16F2">
      <w:pPr>
        <w:ind w:firstLine="720"/>
        <w:rPr>
          <w:rFonts w:ascii="ITCCenturyBookT" w:hAnsi="ITCCenturyBookT"/>
          <w:sz w:val="22"/>
        </w:rPr>
      </w:pPr>
      <w:r>
        <w:rPr>
          <w:rFonts w:ascii="ITCCenturyBookT" w:hAnsi="ITCCenturyBookT"/>
          <w:sz w:val="22"/>
        </w:rPr>
        <w:t>Fire Prevention Plan</w:t>
      </w:r>
    </w:p>
    <w:p w14:paraId="18F60F80" w14:textId="77777777" w:rsidR="005C16F2" w:rsidRDefault="005C16F2" w:rsidP="005C16F2">
      <w:pPr>
        <w:ind w:firstLine="720"/>
        <w:rPr>
          <w:rFonts w:ascii="Univers Condensed" w:hAnsi="Univers Condensed"/>
          <w:sz w:val="22"/>
        </w:rPr>
      </w:pPr>
      <w:r>
        <w:rPr>
          <w:rFonts w:ascii="ITCCenturyBookT" w:hAnsi="ITCCenturyBookT"/>
          <w:sz w:val="22"/>
        </w:rPr>
        <w:t>Environmental, Health &amp; Safety Aspects</w:t>
      </w:r>
    </w:p>
    <w:p w14:paraId="32BD5B0C" w14:textId="77777777" w:rsidR="005C16F2" w:rsidRDefault="005C16F2" w:rsidP="005C16F2">
      <w:pPr>
        <w:ind w:firstLine="720"/>
        <w:rPr>
          <w:rFonts w:ascii="Univers Condensed" w:hAnsi="Univers Condensed"/>
          <w:sz w:val="28"/>
        </w:rPr>
      </w:pPr>
    </w:p>
    <w:p w14:paraId="255AA205" w14:textId="77777777" w:rsidR="005C16F2" w:rsidRDefault="00D3542A" w:rsidP="005C16F2">
      <w:pPr>
        <w:rPr>
          <w:rFonts w:ascii="Univers Condensed" w:hAnsi="Univers Condensed"/>
          <w:sz w:val="28"/>
        </w:rPr>
      </w:pPr>
      <w:r>
        <w:rPr>
          <w:rFonts w:ascii="Univers Condensed" w:hAnsi="Univers Condensed"/>
          <w:noProof/>
          <w:sz w:val="28"/>
        </w:rPr>
        <w:pict w14:anchorId="54578E50">
          <v:line id="_x0000_s1032" style="position:absolute;z-index:251660288" from="0,.25pt" to="468pt,.25pt" o:allowincell="f" strokeweight="1pt">
            <v:stroke dashstyle="longDash"/>
          </v:line>
        </w:pict>
      </w:r>
    </w:p>
    <w:p w14:paraId="2106584F" w14:textId="77777777" w:rsidR="005C16F2" w:rsidRDefault="005C16F2" w:rsidP="005C16F2">
      <w:pPr>
        <w:pStyle w:val="SectionTitle"/>
        <w:keepNext w:val="0"/>
        <w:spacing w:before="0" w:after="120"/>
        <w:rPr>
          <w:rFonts w:ascii="Univers Condensed" w:hAnsi="Univers Condensed"/>
          <w:caps/>
          <w:sz w:val="24"/>
        </w:rPr>
      </w:pPr>
      <w:r>
        <w:rPr>
          <w:rFonts w:ascii="Univers Condensed" w:hAnsi="Univers Condensed"/>
          <w:caps/>
          <w:sz w:val="24"/>
        </w:rPr>
        <w:t>Sites may choose to add the following documentation:</w:t>
      </w:r>
    </w:p>
    <w:p w14:paraId="0B7694E9" w14:textId="77777777" w:rsidR="005C16F2" w:rsidRDefault="005C16F2" w:rsidP="005C16F2">
      <w:pPr>
        <w:numPr>
          <w:ilvl w:val="0"/>
          <w:numId w:val="18"/>
        </w:numPr>
        <w:spacing w:after="120"/>
        <w:rPr>
          <w:rFonts w:ascii="ITCCenturyBookT" w:hAnsi="ITCCenturyBookT"/>
          <w:sz w:val="22"/>
        </w:rPr>
      </w:pPr>
      <w:r>
        <w:rPr>
          <w:rFonts w:ascii="ITCCenturyBookT" w:hAnsi="ITCCenturyBookT"/>
          <w:sz w:val="22"/>
        </w:rPr>
        <w:t>Acknowledgement of receipt of Appendix C information</w:t>
      </w:r>
    </w:p>
    <w:p w14:paraId="5F3B69B0" w14:textId="77777777" w:rsidR="005C16F2" w:rsidRDefault="005C16F2" w:rsidP="005C16F2">
      <w:pPr>
        <w:numPr>
          <w:ilvl w:val="0"/>
          <w:numId w:val="18"/>
        </w:numPr>
        <w:rPr>
          <w:rFonts w:ascii="Univers Condensed" w:hAnsi="Univers Condensed"/>
          <w:caps/>
          <w:sz w:val="22"/>
        </w:rPr>
      </w:pPr>
      <w:r>
        <w:rPr>
          <w:rFonts w:ascii="ITCCenturyBookT" w:hAnsi="ITCCenturyBookT"/>
          <w:sz w:val="22"/>
        </w:rPr>
        <w:t>Documentation of contractor training on Appendix C elements</w:t>
      </w:r>
    </w:p>
    <w:p w14:paraId="055263E0" w14:textId="77777777" w:rsidR="005C16F2" w:rsidRDefault="005C16F2" w:rsidP="005C16F2">
      <w:pPr>
        <w:rPr>
          <w:rFonts w:ascii="Univers Condensed" w:hAnsi="Univers Condensed"/>
          <w:caps/>
          <w:sz w:val="22"/>
        </w:rPr>
      </w:pPr>
    </w:p>
    <w:p w14:paraId="44CE412C" w14:textId="77777777" w:rsidR="005C16F2" w:rsidRDefault="005C16F2" w:rsidP="005C16F2">
      <w:pPr>
        <w:rPr>
          <w:rFonts w:ascii="Univers Condensed" w:hAnsi="Univers Condensed"/>
          <w:caps/>
          <w:sz w:val="22"/>
        </w:rPr>
      </w:pPr>
    </w:p>
    <w:p w14:paraId="37A702B0" w14:textId="77777777" w:rsidR="005C16F2" w:rsidRDefault="005C16F2" w:rsidP="005C16F2">
      <w:pPr>
        <w:jc w:val="center"/>
        <w:rPr>
          <w:rFonts w:ascii="ITCCenturyBookT" w:hAnsi="ITCCenturyBookT"/>
          <w:sz w:val="22"/>
        </w:rPr>
      </w:pPr>
      <w:r>
        <w:rPr>
          <w:rFonts w:ascii="ITCCenturyBookT" w:hAnsi="ITCCenturyBookT"/>
          <w:sz w:val="22"/>
        </w:rPr>
        <w:br w:type="page"/>
      </w:r>
    </w:p>
    <w:p w14:paraId="1D1EDB47" w14:textId="77777777" w:rsidR="005C16F2" w:rsidRDefault="005C16F2" w:rsidP="005C16F2">
      <w:pPr>
        <w:spacing w:after="120"/>
        <w:jc w:val="center"/>
        <w:rPr>
          <w:rFonts w:ascii="Univers Condensed" w:hAnsi="Univers Condensed"/>
          <w:b/>
          <w:bCs/>
          <w:caps/>
          <w:sz w:val="28"/>
        </w:rPr>
      </w:pPr>
      <w:r>
        <w:rPr>
          <w:rFonts w:ascii="Univers Condensed" w:hAnsi="Univers Condensed"/>
          <w:b/>
          <w:bCs/>
          <w:caps/>
          <w:sz w:val="28"/>
        </w:rPr>
        <w:lastRenderedPageBreak/>
        <w:t>Appendix D</w:t>
      </w:r>
    </w:p>
    <w:p w14:paraId="43CEF541" w14:textId="77777777" w:rsidR="005C16F2" w:rsidRPr="00140BDD" w:rsidRDefault="005C16F2" w:rsidP="005C16F2">
      <w:pPr>
        <w:jc w:val="center"/>
        <w:rPr>
          <w:rFonts w:ascii="Univers Condensed" w:hAnsi="Univers Condensed"/>
          <w:b/>
          <w:bCs/>
          <w:caps/>
          <w:sz w:val="28"/>
        </w:rPr>
      </w:pPr>
      <w:r>
        <w:rPr>
          <w:rFonts w:ascii="Univers Condensed" w:hAnsi="Univers Condensed"/>
          <w:b/>
          <w:bCs/>
          <w:caps/>
          <w:sz w:val="28"/>
        </w:rPr>
        <w:t>EHS Training</w:t>
      </w:r>
      <w:r w:rsidRPr="002B205A">
        <w:rPr>
          <w:rFonts w:ascii="Univers Condensed" w:hAnsi="Univers Condensed"/>
          <w:b/>
          <w:bCs/>
          <w:caps/>
          <w:sz w:val="28"/>
        </w:rPr>
        <w:t xml:space="preserve"> &amp; Heath Surveillance</w:t>
      </w:r>
      <w:r>
        <w:rPr>
          <w:rFonts w:ascii="Univers Condensed" w:hAnsi="Univers Condensed"/>
          <w:b/>
          <w:bCs/>
          <w:caps/>
          <w:sz w:val="28"/>
        </w:rPr>
        <w:t xml:space="preserve"> </w:t>
      </w:r>
      <w:r w:rsidRPr="00140BDD">
        <w:rPr>
          <w:rFonts w:ascii="Univers Condensed" w:hAnsi="Univers Condensed"/>
          <w:b/>
          <w:bCs/>
          <w:caps/>
          <w:sz w:val="28"/>
        </w:rPr>
        <w:t>(U.S. Only)</w:t>
      </w:r>
    </w:p>
    <w:p w14:paraId="75A39CDF" w14:textId="77777777" w:rsidR="005C16F2" w:rsidRPr="00E96399" w:rsidRDefault="005C16F2" w:rsidP="005C16F2">
      <w:pPr>
        <w:rPr>
          <w:rFonts w:ascii="Univers Condensed" w:hAnsi="Univers Condensed"/>
          <w:caps/>
          <w:sz w:val="22"/>
          <w:szCs w:val="22"/>
        </w:rPr>
      </w:pPr>
    </w:p>
    <w:p w14:paraId="20C6042F" w14:textId="77777777" w:rsidR="005C16F2" w:rsidRPr="00E96399" w:rsidRDefault="005C16F2" w:rsidP="005C16F2">
      <w:pPr>
        <w:rPr>
          <w:rFonts w:ascii="ITCCenturyBookT" w:hAnsi="ITCCenturyBookT"/>
          <w:sz w:val="22"/>
          <w:szCs w:val="22"/>
        </w:rPr>
      </w:pPr>
      <w:r w:rsidRPr="00140BDD">
        <w:rPr>
          <w:rFonts w:ascii="ITCCenturyBookT" w:hAnsi="ITCCenturyBookT"/>
          <w:sz w:val="22"/>
          <w:szCs w:val="22"/>
        </w:rPr>
        <w:t xml:space="preserve">For work on Agilent sites </w:t>
      </w:r>
      <w:r>
        <w:rPr>
          <w:rFonts w:ascii="ITCCenturyBookT" w:hAnsi="ITCCenturyBookT"/>
          <w:sz w:val="22"/>
          <w:szCs w:val="22"/>
        </w:rPr>
        <w:t xml:space="preserve">in the U.S. </w:t>
      </w:r>
      <w:r w:rsidRPr="00E96399">
        <w:rPr>
          <w:rFonts w:ascii="ITCCenturyBookT" w:hAnsi="ITCCenturyBookT"/>
          <w:sz w:val="22"/>
          <w:szCs w:val="22"/>
        </w:rPr>
        <w:t>by contractor(s) (both project contractor work and continuous contractor work) three types of EHS-related training is applicable:</w:t>
      </w:r>
    </w:p>
    <w:p w14:paraId="679B4B93" w14:textId="77777777" w:rsidR="005C16F2" w:rsidRPr="00E96399" w:rsidRDefault="005C16F2" w:rsidP="005C16F2">
      <w:pPr>
        <w:tabs>
          <w:tab w:val="num" w:pos="1800"/>
        </w:tabs>
        <w:ind w:right="-17"/>
        <w:rPr>
          <w:rFonts w:ascii="ITCCenturyBookT" w:hAnsi="ITCCenturyBookT"/>
          <w:sz w:val="22"/>
          <w:szCs w:val="22"/>
        </w:rPr>
      </w:pPr>
    </w:p>
    <w:p w14:paraId="4BAF31B3" w14:textId="77777777" w:rsidR="005C16F2" w:rsidRPr="00E96399" w:rsidRDefault="005C16F2" w:rsidP="005C16F2">
      <w:pPr>
        <w:keepLines/>
        <w:tabs>
          <w:tab w:val="num" w:pos="720"/>
        </w:tabs>
        <w:ind w:left="720" w:right="-17"/>
        <w:rPr>
          <w:rFonts w:ascii="ITCCenturyBookT" w:hAnsi="ITCCenturyBookT" w:cs="Arial"/>
          <w:sz w:val="22"/>
          <w:szCs w:val="22"/>
        </w:rPr>
      </w:pPr>
      <w:r w:rsidRPr="00E96399">
        <w:rPr>
          <w:rFonts w:ascii="ITCCenturyBookT" w:hAnsi="ITCCenturyBookT" w:cs="Arial"/>
          <w:b/>
          <w:sz w:val="22"/>
          <w:szCs w:val="22"/>
        </w:rPr>
        <w:t>General EHS Training:</w:t>
      </w:r>
    </w:p>
    <w:p w14:paraId="1B127E11" w14:textId="77777777" w:rsidR="005C16F2" w:rsidRPr="00E96399" w:rsidRDefault="005C16F2" w:rsidP="005C16F2">
      <w:pPr>
        <w:keepLines/>
        <w:tabs>
          <w:tab w:val="num" w:pos="720"/>
        </w:tabs>
        <w:ind w:left="720" w:right="-17"/>
        <w:rPr>
          <w:rFonts w:ascii="ITCCenturyBookT" w:hAnsi="ITCCenturyBookT" w:cs="Arial"/>
          <w:sz w:val="22"/>
          <w:szCs w:val="22"/>
        </w:rPr>
      </w:pPr>
      <w:r w:rsidRPr="00E96399">
        <w:rPr>
          <w:rFonts w:ascii="ITCCenturyBookT" w:hAnsi="ITCCenturyBookT" w:cs="Arial"/>
          <w:sz w:val="22"/>
          <w:szCs w:val="22"/>
        </w:rPr>
        <w:t>General EHS training is conducted by Contractor or a third party hired by Contractor to provide such training.  Contractor is responsible for providing the facility, trainers, and supplies needed for such training.  Contractor is responsible for travel, local transportation and living expenses for its employees, including wages, while attending any and all general training.  Contractor will be responsible for maintaining records of completion for all its employees, subcontractors or agents for general EHS training and upon request will be provided to Agilent.</w:t>
      </w:r>
    </w:p>
    <w:p w14:paraId="2F7B0414" w14:textId="77777777" w:rsidR="005C16F2" w:rsidRPr="00E96399" w:rsidRDefault="005C16F2" w:rsidP="005C16F2">
      <w:pPr>
        <w:tabs>
          <w:tab w:val="num" w:pos="1440"/>
        </w:tabs>
        <w:ind w:right="-17"/>
        <w:rPr>
          <w:rFonts w:ascii="ITCCenturyBookT" w:hAnsi="ITCCenturyBookT" w:cs="Arial"/>
          <w:sz w:val="22"/>
          <w:szCs w:val="22"/>
        </w:rPr>
      </w:pPr>
    </w:p>
    <w:p w14:paraId="1D584C0F" w14:textId="77777777" w:rsidR="005C16F2" w:rsidRPr="00E96399" w:rsidRDefault="005C16F2" w:rsidP="005C16F2">
      <w:pPr>
        <w:keepLines/>
        <w:tabs>
          <w:tab w:val="num" w:pos="720"/>
        </w:tabs>
        <w:ind w:left="720" w:right="-17"/>
        <w:rPr>
          <w:rFonts w:ascii="ITCCenturyBookT" w:hAnsi="ITCCenturyBookT" w:cs="Arial"/>
          <w:sz w:val="22"/>
          <w:szCs w:val="22"/>
        </w:rPr>
      </w:pPr>
      <w:r w:rsidRPr="00E96399">
        <w:rPr>
          <w:rFonts w:ascii="ITCCenturyBookT" w:hAnsi="ITCCenturyBookT" w:cs="Arial"/>
          <w:b/>
          <w:sz w:val="22"/>
          <w:szCs w:val="22"/>
        </w:rPr>
        <w:t>Agilent EHS Training</w:t>
      </w:r>
      <w:r w:rsidRPr="00E96399">
        <w:rPr>
          <w:rFonts w:ascii="ITCCenturyBookT" w:hAnsi="ITCCenturyBookT" w:cs="Arial"/>
          <w:sz w:val="22"/>
          <w:szCs w:val="22"/>
        </w:rPr>
        <w:t xml:space="preserve">: </w:t>
      </w:r>
    </w:p>
    <w:p w14:paraId="5F6A984A" w14:textId="77777777" w:rsidR="005C16F2" w:rsidRPr="00E96399" w:rsidRDefault="005C16F2" w:rsidP="005C16F2">
      <w:pPr>
        <w:keepLines/>
        <w:tabs>
          <w:tab w:val="num" w:pos="720"/>
        </w:tabs>
        <w:ind w:left="720" w:right="-17"/>
        <w:rPr>
          <w:rFonts w:ascii="ITCCenturyBookT" w:hAnsi="ITCCenturyBookT" w:cs="Arial"/>
          <w:sz w:val="22"/>
          <w:szCs w:val="22"/>
        </w:rPr>
      </w:pPr>
      <w:r w:rsidRPr="00E96399">
        <w:rPr>
          <w:rFonts w:ascii="ITCCenturyBookT" w:hAnsi="ITCCenturyBookT" w:cs="Arial"/>
          <w:sz w:val="22"/>
          <w:szCs w:val="22"/>
        </w:rPr>
        <w:t>Agilent EHS training is conducted by Agilent, or an Agilent approved third party resource, either at an Agilent facility or at a mutually agreed upon site.  Agilent sponsors and supplies the facility, trainers and needed supplies for Agilent EHS training.  Contractor is responsible for travel, local transportation and living expenses for its employees, including wages, while attending Agilent EHS training.  Agilent maintains records of completion for Agilent specific EHS training which is available upon request.</w:t>
      </w:r>
    </w:p>
    <w:p w14:paraId="17613B9B" w14:textId="77777777" w:rsidR="005C16F2" w:rsidRPr="00E96399" w:rsidRDefault="005C16F2" w:rsidP="005C16F2">
      <w:pPr>
        <w:rPr>
          <w:rFonts w:ascii="ITCCenturyBookT" w:hAnsi="ITCCenturyBookT" w:cs="Arial"/>
          <w:sz w:val="22"/>
          <w:szCs w:val="22"/>
        </w:rPr>
      </w:pPr>
    </w:p>
    <w:p w14:paraId="0838724B" w14:textId="77777777" w:rsidR="005C16F2" w:rsidRPr="00E96399" w:rsidRDefault="005C16F2" w:rsidP="005C16F2">
      <w:pPr>
        <w:keepLines/>
        <w:tabs>
          <w:tab w:val="num" w:pos="720"/>
        </w:tabs>
        <w:ind w:left="720" w:right="-17"/>
        <w:rPr>
          <w:rFonts w:ascii="ITCCenturyBookT" w:hAnsi="ITCCenturyBookT" w:cs="Arial"/>
          <w:sz w:val="22"/>
          <w:szCs w:val="22"/>
        </w:rPr>
      </w:pPr>
      <w:r w:rsidRPr="00E96399">
        <w:rPr>
          <w:rFonts w:ascii="ITCCenturyBookT" w:hAnsi="ITCCenturyBookT" w:cs="Arial"/>
          <w:b/>
          <w:sz w:val="22"/>
          <w:szCs w:val="22"/>
        </w:rPr>
        <w:t>Agilent Operating Procedures</w:t>
      </w:r>
      <w:r w:rsidRPr="00E96399">
        <w:rPr>
          <w:rFonts w:ascii="ITCCenturyBookT" w:hAnsi="ITCCenturyBookT" w:cs="Arial"/>
          <w:sz w:val="22"/>
          <w:szCs w:val="22"/>
        </w:rPr>
        <w:t xml:space="preserve">: </w:t>
      </w:r>
    </w:p>
    <w:p w14:paraId="78855792" w14:textId="77777777" w:rsidR="005C16F2" w:rsidRPr="00E96399" w:rsidRDefault="005C16F2" w:rsidP="005C16F2">
      <w:pPr>
        <w:keepLines/>
        <w:tabs>
          <w:tab w:val="num" w:pos="720"/>
        </w:tabs>
        <w:ind w:left="720" w:right="-17"/>
        <w:rPr>
          <w:rFonts w:ascii="ITCCenturyBookT" w:hAnsi="ITCCenturyBookT" w:cs="Arial"/>
          <w:sz w:val="22"/>
          <w:szCs w:val="22"/>
        </w:rPr>
      </w:pPr>
      <w:r w:rsidRPr="00E96399">
        <w:rPr>
          <w:rFonts w:ascii="ITCCenturyBookT" w:hAnsi="ITCCenturyBookT" w:cs="Arial"/>
          <w:sz w:val="22"/>
          <w:szCs w:val="22"/>
        </w:rPr>
        <w:t xml:space="preserve">Agilent requires that all contract employees are familiar with and have sufficiently reviewed required standard operating procedures and required processes, defined by Agilent, when initially approved and once per year thereafter.  Agilent specific non-technical procedures and processes are made available to Contractor and Contractor is responsible for conducting said trainings and reviews. It is the Contractor’s responsibility to maintain associated training records and to be able to supply proof of completion upon request.  Contractor is responsible for travel, local transportation, living expenses and wages while attending or conducting this training. </w:t>
      </w:r>
    </w:p>
    <w:p w14:paraId="2E7D8250" w14:textId="77777777" w:rsidR="005C16F2" w:rsidRPr="00E96399" w:rsidRDefault="005C16F2" w:rsidP="005C16F2">
      <w:pPr>
        <w:rPr>
          <w:rFonts w:ascii="ITCCenturyBookT" w:hAnsi="ITCCenturyBookT" w:cs="Arial"/>
          <w:sz w:val="22"/>
          <w:szCs w:val="22"/>
        </w:rPr>
      </w:pPr>
    </w:p>
    <w:p w14:paraId="1FFCFDB9" w14:textId="77777777" w:rsidR="005C16F2" w:rsidRPr="00E96399" w:rsidRDefault="005C16F2" w:rsidP="005C16F2">
      <w:pPr>
        <w:rPr>
          <w:rFonts w:ascii="ITCCenturyBookT" w:hAnsi="ITCCenturyBookT" w:cs="Arial"/>
          <w:sz w:val="22"/>
          <w:szCs w:val="22"/>
        </w:rPr>
      </w:pPr>
      <w:r w:rsidRPr="00E96399">
        <w:rPr>
          <w:rFonts w:ascii="ITCCenturyBookT" w:hAnsi="ITCCenturyBookT" w:cs="Arial"/>
          <w:sz w:val="22"/>
          <w:szCs w:val="22"/>
        </w:rPr>
        <w:t xml:space="preserve">As applicable for the specific work being contracted, courses that are considered as </w:t>
      </w:r>
      <w:r w:rsidRPr="00E96399">
        <w:rPr>
          <w:rFonts w:ascii="ITCCenturyBookT" w:hAnsi="ITCCenturyBookT" w:cs="Arial"/>
          <w:b/>
          <w:sz w:val="22"/>
          <w:szCs w:val="22"/>
        </w:rPr>
        <w:t>General EHS Training</w:t>
      </w:r>
      <w:r w:rsidRPr="00E96399">
        <w:rPr>
          <w:rFonts w:ascii="ITCCenturyBookT" w:hAnsi="ITCCenturyBookT" w:cs="Arial"/>
          <w:sz w:val="22"/>
          <w:szCs w:val="22"/>
        </w:rPr>
        <w:t xml:space="preserve"> include but are not limited to:</w:t>
      </w:r>
    </w:p>
    <w:p w14:paraId="479E60B2"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Biosafety</w:t>
      </w:r>
    </w:p>
    <w:p w14:paraId="21F0793D"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 xml:space="preserve">Bloodborne Pathogens </w:t>
      </w:r>
    </w:p>
    <w:p w14:paraId="2167D435"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 xml:space="preserve">Chemical Safety </w:t>
      </w:r>
    </w:p>
    <w:p w14:paraId="2744ADD4"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Chemical Safety in the Laboratory</w:t>
      </w:r>
    </w:p>
    <w:p w14:paraId="10CD56D1"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Confined Space Entry</w:t>
      </w:r>
    </w:p>
    <w:p w14:paraId="30883744"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Cryogenics (supplemented with Agilent safety procedure(s))</w:t>
      </w:r>
    </w:p>
    <w:p w14:paraId="74BCED0A"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Dangerous Goods Transportation</w:t>
      </w:r>
    </w:p>
    <w:p w14:paraId="0EDE8176"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Electrical Safety</w:t>
      </w:r>
    </w:p>
    <w:p w14:paraId="091943D8"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Fall Protection</w:t>
      </w:r>
    </w:p>
    <w:p w14:paraId="294C5CE2"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Forklift/Powered Industrial Truck</w:t>
      </w:r>
    </w:p>
    <w:p w14:paraId="71941268"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Gas Cylinder Handling</w:t>
      </w:r>
    </w:p>
    <w:p w14:paraId="5893047C"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General Ergonomics</w:t>
      </w:r>
    </w:p>
    <w:p w14:paraId="1B1FE7AF"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lastRenderedPageBreak/>
        <w:t>Hazardous Materials Management/Awareness</w:t>
      </w:r>
    </w:p>
    <w:p w14:paraId="3207E7DC"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Hazardous Substance Communication</w:t>
      </w:r>
    </w:p>
    <w:p w14:paraId="7456C11B"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Hoist &amp; Crane Safety</w:t>
      </w:r>
    </w:p>
    <w:p w14:paraId="3F3B0F03"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Ionizing Radiation</w:t>
      </w:r>
    </w:p>
    <w:p w14:paraId="57BBB6A3"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Lockout/Tagout</w:t>
      </w:r>
    </w:p>
    <w:p w14:paraId="575A6F2B" w14:textId="77777777" w:rsidR="005C16F2"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Noise/Hearing Conservation</w:t>
      </w:r>
    </w:p>
    <w:p w14:paraId="4367AA4D"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Pr>
          <w:rFonts w:ascii="ITCCenturyBookT" w:hAnsi="ITCCenturyBookT" w:cs="Arial"/>
          <w:sz w:val="22"/>
          <w:szCs w:val="22"/>
        </w:rPr>
        <w:t>Personal Protective Equipment (PPE)</w:t>
      </w:r>
    </w:p>
    <w:p w14:paraId="7AFD121A"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Respiratory Protection</w:t>
      </w:r>
    </w:p>
    <w:p w14:paraId="59AC703F" w14:textId="77777777" w:rsidR="005C16F2" w:rsidRPr="00E96399" w:rsidRDefault="005C16F2" w:rsidP="005C16F2">
      <w:pPr>
        <w:tabs>
          <w:tab w:val="num" w:pos="1800"/>
        </w:tabs>
        <w:ind w:right="-17"/>
        <w:rPr>
          <w:rFonts w:ascii="ITCCenturyBookT" w:hAnsi="ITCCenturyBookT" w:cs="Arial"/>
          <w:sz w:val="22"/>
          <w:szCs w:val="22"/>
        </w:rPr>
      </w:pPr>
    </w:p>
    <w:p w14:paraId="475B0404" w14:textId="77777777" w:rsidR="005C16F2" w:rsidRPr="00E96399" w:rsidRDefault="005C16F2" w:rsidP="005C16F2">
      <w:pPr>
        <w:rPr>
          <w:rFonts w:ascii="ITCCenturyBookT" w:hAnsi="ITCCenturyBookT" w:cs="Arial"/>
          <w:sz w:val="22"/>
          <w:szCs w:val="22"/>
        </w:rPr>
      </w:pPr>
      <w:r w:rsidRPr="00E96399">
        <w:rPr>
          <w:rFonts w:ascii="ITCCenturyBookT" w:hAnsi="ITCCenturyBookT" w:cs="Arial"/>
          <w:sz w:val="22"/>
          <w:szCs w:val="22"/>
        </w:rPr>
        <w:t xml:space="preserve">Courses that are </w:t>
      </w:r>
      <w:r w:rsidRPr="00E96399">
        <w:rPr>
          <w:rFonts w:ascii="ITCCenturyBookT" w:hAnsi="ITCCenturyBookT" w:cs="Arial"/>
          <w:b/>
          <w:sz w:val="22"/>
          <w:szCs w:val="22"/>
        </w:rPr>
        <w:t>Agilent EHS Training</w:t>
      </w:r>
      <w:r w:rsidRPr="00E96399">
        <w:rPr>
          <w:rFonts w:ascii="ITCCenturyBookT" w:hAnsi="ITCCenturyBookT" w:cs="Arial"/>
          <w:sz w:val="22"/>
          <w:szCs w:val="22"/>
        </w:rPr>
        <w:t xml:space="preserve"> are those courses that are specific to a unique hazard associated with work at Agilent.  For example, a contractor that performs manufacturing work involving chemicals would be expected to have successfully completed Chemical Safety and Hazcom training, but if the work involves the use of a hazardous chemical with unique hazard, such as a specific hydrofluoric acid solution, training on the hazards and controls for that hydrofluoric acid solution would be </w:t>
      </w:r>
      <w:r w:rsidRPr="00E96399">
        <w:rPr>
          <w:rFonts w:ascii="ITCCenturyBookT" w:hAnsi="ITCCenturyBookT" w:cs="Arial"/>
          <w:b/>
          <w:sz w:val="22"/>
          <w:szCs w:val="22"/>
        </w:rPr>
        <w:t>Agilent EHS Training</w:t>
      </w:r>
      <w:r w:rsidRPr="00E96399">
        <w:rPr>
          <w:rFonts w:ascii="ITCCenturyBookT" w:hAnsi="ITCCenturyBookT" w:cs="Arial"/>
          <w:sz w:val="22"/>
          <w:szCs w:val="22"/>
        </w:rPr>
        <w:t xml:space="preserve"> that would be needed in addition to general Chemical Safety and Hazcom training.</w:t>
      </w:r>
    </w:p>
    <w:p w14:paraId="09B5F336" w14:textId="77777777" w:rsidR="005C16F2" w:rsidRPr="00E96399" w:rsidRDefault="005C16F2" w:rsidP="005C16F2">
      <w:pPr>
        <w:rPr>
          <w:rFonts w:ascii="ITCCenturyBookT" w:hAnsi="ITCCenturyBookT" w:cs="Arial"/>
          <w:sz w:val="22"/>
          <w:szCs w:val="22"/>
        </w:rPr>
      </w:pPr>
    </w:p>
    <w:p w14:paraId="2440055B" w14:textId="77777777" w:rsidR="005C16F2" w:rsidRPr="00E96399" w:rsidRDefault="005C16F2" w:rsidP="005C16F2">
      <w:pPr>
        <w:keepLines/>
        <w:tabs>
          <w:tab w:val="num" w:pos="720"/>
        </w:tabs>
        <w:ind w:right="-17"/>
        <w:rPr>
          <w:rFonts w:ascii="ITCCenturyBookT" w:hAnsi="ITCCenturyBookT" w:cs="Arial"/>
          <w:sz w:val="22"/>
          <w:szCs w:val="22"/>
        </w:rPr>
      </w:pPr>
      <w:r w:rsidRPr="00E96399">
        <w:rPr>
          <w:rFonts w:ascii="ITCCenturyBookT" w:hAnsi="ITCCenturyBookT" w:cs="Arial"/>
          <w:sz w:val="22"/>
          <w:szCs w:val="22"/>
        </w:rPr>
        <w:t xml:space="preserve">In certain cases an EHS-related training course can be considered both </w:t>
      </w:r>
      <w:r w:rsidRPr="00E96399">
        <w:rPr>
          <w:rFonts w:ascii="ITCCenturyBookT" w:hAnsi="ITCCenturyBookT" w:cs="Arial"/>
          <w:b/>
          <w:sz w:val="22"/>
          <w:szCs w:val="22"/>
        </w:rPr>
        <w:t>General EHS Training</w:t>
      </w:r>
      <w:r w:rsidRPr="00E96399">
        <w:rPr>
          <w:rFonts w:ascii="ITCCenturyBookT" w:hAnsi="ITCCenturyBookT" w:cs="Arial"/>
          <w:sz w:val="22"/>
          <w:szCs w:val="22"/>
        </w:rPr>
        <w:t xml:space="preserve"> and </w:t>
      </w:r>
      <w:r w:rsidRPr="00E96399">
        <w:rPr>
          <w:rFonts w:ascii="ITCCenturyBookT" w:hAnsi="ITCCenturyBookT" w:cs="Arial"/>
          <w:b/>
          <w:sz w:val="22"/>
          <w:szCs w:val="22"/>
        </w:rPr>
        <w:t>Agilent EHS Training</w:t>
      </w:r>
      <w:r w:rsidRPr="00E96399">
        <w:rPr>
          <w:rFonts w:ascii="ITCCenturyBookT" w:hAnsi="ITCCenturyBookT" w:cs="Arial"/>
          <w:sz w:val="22"/>
          <w:szCs w:val="22"/>
        </w:rPr>
        <w:t xml:space="preserve"> depending on the type of contractor training being provided.  For example, a contractor that performs manufacturing work involving the use of open-beamed high powered lasers would be expected to have successfully completed Laser Safety Training as </w:t>
      </w:r>
      <w:r w:rsidRPr="00E96399">
        <w:rPr>
          <w:rFonts w:ascii="ITCCenturyBookT" w:hAnsi="ITCCenturyBookT" w:cs="Arial"/>
          <w:b/>
          <w:sz w:val="22"/>
          <w:szCs w:val="22"/>
        </w:rPr>
        <w:t>General EHS Training</w:t>
      </w:r>
      <w:r w:rsidRPr="00E96399">
        <w:rPr>
          <w:rFonts w:ascii="ITCCenturyBookT" w:hAnsi="ITCCenturyBookT" w:cs="Arial"/>
          <w:sz w:val="22"/>
          <w:szCs w:val="22"/>
        </w:rPr>
        <w:t xml:space="preserve">.  However, a contractor (e.g., janitor) that needs to enter a laser use area at Agilent may need to successfully complete a version of Laser Safety Training and if so that training would be considered </w:t>
      </w:r>
      <w:r w:rsidRPr="00E96399">
        <w:rPr>
          <w:rFonts w:ascii="ITCCenturyBookT" w:hAnsi="ITCCenturyBookT" w:cs="Arial"/>
          <w:b/>
          <w:sz w:val="22"/>
          <w:szCs w:val="22"/>
        </w:rPr>
        <w:t>Agilent EHS Training</w:t>
      </w:r>
      <w:r w:rsidRPr="00E96399">
        <w:rPr>
          <w:rFonts w:ascii="ITCCenturyBookT" w:hAnsi="ITCCenturyBookT" w:cs="Arial"/>
          <w:sz w:val="22"/>
          <w:szCs w:val="22"/>
        </w:rPr>
        <w:t xml:space="preserve"> for the janitor.  The distinction being a competent contractor hired to perform work involving the use of lasers is expected to be knowledgeable in laser safety, while a competent janitor is not expected to be knowledgeable in laser safety.  For the janitor, laser hazards and controls may be unique to his or her work at Agilent. </w:t>
      </w:r>
    </w:p>
    <w:p w14:paraId="471A4A60" w14:textId="77777777" w:rsidR="005C16F2" w:rsidRPr="00E96399" w:rsidRDefault="005C16F2" w:rsidP="005C16F2">
      <w:pPr>
        <w:tabs>
          <w:tab w:val="num" w:pos="1800"/>
        </w:tabs>
        <w:ind w:right="-17"/>
        <w:rPr>
          <w:rFonts w:ascii="ITCCenturyBookT" w:hAnsi="ITCCenturyBookT" w:cs="Arial"/>
          <w:sz w:val="22"/>
          <w:szCs w:val="22"/>
        </w:rPr>
      </w:pPr>
    </w:p>
    <w:p w14:paraId="56A4284E" w14:textId="77777777" w:rsidR="005C16F2" w:rsidRPr="00E96399" w:rsidRDefault="005C16F2" w:rsidP="005C16F2">
      <w:pPr>
        <w:tabs>
          <w:tab w:val="num" w:pos="1800"/>
        </w:tabs>
        <w:ind w:right="-17"/>
        <w:rPr>
          <w:rFonts w:ascii="ITCCenturyBookT" w:hAnsi="ITCCenturyBookT" w:cs="Arial"/>
          <w:sz w:val="22"/>
          <w:szCs w:val="22"/>
        </w:rPr>
      </w:pPr>
      <w:r w:rsidRPr="00E96399">
        <w:rPr>
          <w:rFonts w:ascii="ITCCenturyBookT" w:hAnsi="ITCCenturyBookT" w:cs="Arial"/>
          <w:sz w:val="22"/>
          <w:szCs w:val="22"/>
        </w:rPr>
        <w:t xml:space="preserve">Other examples of </w:t>
      </w:r>
      <w:r w:rsidRPr="00E96399">
        <w:rPr>
          <w:rFonts w:ascii="ITCCenturyBookT" w:hAnsi="ITCCenturyBookT" w:cs="Arial"/>
          <w:b/>
          <w:sz w:val="22"/>
          <w:szCs w:val="22"/>
        </w:rPr>
        <w:t>Agilent EHS Training</w:t>
      </w:r>
      <w:r w:rsidRPr="00E96399">
        <w:rPr>
          <w:rFonts w:ascii="ITCCenturyBookT" w:hAnsi="ITCCenturyBookT" w:cs="Arial"/>
          <w:sz w:val="22"/>
          <w:szCs w:val="22"/>
        </w:rPr>
        <w:t xml:space="preserve"> may include but are not limited to:</w:t>
      </w:r>
    </w:p>
    <w:p w14:paraId="72AB1399"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 xml:space="preserve">Methylene Chloride, Lead, Arsenic and other chemicals with specific regulatory training requirements </w:t>
      </w:r>
    </w:p>
    <w:p w14:paraId="281BB790"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HPM Gas Training specific to the site</w:t>
      </w:r>
    </w:p>
    <w:p w14:paraId="4A5DE734"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Agilent Product Safety Training</w:t>
      </w:r>
    </w:p>
    <w:p w14:paraId="0F7B9235" w14:textId="77777777" w:rsidR="005C16F2" w:rsidRPr="00E96399" w:rsidRDefault="005C16F2" w:rsidP="005C16F2">
      <w:pPr>
        <w:pStyle w:val="ListParagraph"/>
        <w:numPr>
          <w:ilvl w:val="0"/>
          <w:numId w:val="28"/>
        </w:numPr>
        <w:tabs>
          <w:tab w:val="num" w:pos="1800"/>
        </w:tabs>
        <w:ind w:right="-17"/>
        <w:jc w:val="left"/>
        <w:rPr>
          <w:rFonts w:ascii="ITCCenturyBookT" w:hAnsi="ITCCenturyBookT" w:cs="Arial"/>
          <w:sz w:val="22"/>
          <w:szCs w:val="22"/>
        </w:rPr>
      </w:pPr>
      <w:r w:rsidRPr="00E96399">
        <w:rPr>
          <w:rFonts w:ascii="ITCCenturyBookT" w:hAnsi="ITCCenturyBookT" w:cs="Arial"/>
          <w:sz w:val="22"/>
          <w:szCs w:val="22"/>
        </w:rPr>
        <w:t>Site-Specific Emergency Training</w:t>
      </w:r>
    </w:p>
    <w:p w14:paraId="12A4A657" w14:textId="77777777" w:rsidR="005C16F2" w:rsidRPr="00E96399" w:rsidRDefault="005C16F2" w:rsidP="005C16F2">
      <w:pPr>
        <w:pStyle w:val="ListParagraph"/>
        <w:numPr>
          <w:ilvl w:val="0"/>
          <w:numId w:val="28"/>
        </w:numPr>
        <w:tabs>
          <w:tab w:val="num" w:pos="1800"/>
        </w:tabs>
        <w:spacing w:after="120"/>
        <w:ind w:right="-14"/>
        <w:contextualSpacing w:val="0"/>
        <w:jc w:val="left"/>
        <w:rPr>
          <w:rFonts w:ascii="ITCCenturyBookT" w:hAnsi="ITCCenturyBookT" w:cs="Arial"/>
          <w:sz w:val="22"/>
          <w:szCs w:val="22"/>
        </w:rPr>
      </w:pPr>
      <w:r w:rsidRPr="00E96399">
        <w:rPr>
          <w:rFonts w:ascii="ITCCenturyBookT" w:hAnsi="ITCCenturyBookT" w:cs="Arial"/>
          <w:sz w:val="22"/>
          <w:szCs w:val="22"/>
        </w:rPr>
        <w:t>Site Hazardous Waste Awareness</w:t>
      </w:r>
    </w:p>
    <w:p w14:paraId="518E1C17" w14:textId="77777777" w:rsidR="005C16F2" w:rsidRPr="00E96399" w:rsidRDefault="005C16F2" w:rsidP="005C16F2">
      <w:pPr>
        <w:rPr>
          <w:rFonts w:ascii="ITCCenturyBookT" w:hAnsi="ITCCenturyBookT" w:cs="Arial"/>
          <w:sz w:val="22"/>
          <w:szCs w:val="22"/>
        </w:rPr>
      </w:pPr>
    </w:p>
    <w:p w14:paraId="53D878F1" w14:textId="77777777" w:rsidR="005C16F2" w:rsidRPr="00E96399" w:rsidRDefault="005C16F2" w:rsidP="005C16F2">
      <w:pPr>
        <w:spacing w:after="120"/>
        <w:rPr>
          <w:rFonts w:ascii="ITCCenturyBookT" w:hAnsi="ITCCenturyBookT" w:cs="Arial"/>
          <w:b/>
          <w:sz w:val="22"/>
          <w:szCs w:val="22"/>
        </w:rPr>
      </w:pPr>
      <w:r w:rsidRPr="00E96399">
        <w:rPr>
          <w:rFonts w:ascii="ITCCenturyBookT" w:hAnsi="ITCCenturyBookT" w:cs="Arial"/>
          <w:b/>
          <w:sz w:val="22"/>
          <w:szCs w:val="22"/>
        </w:rPr>
        <w:t>Heath Surveillance</w:t>
      </w:r>
    </w:p>
    <w:p w14:paraId="32A4A68B" w14:textId="77777777" w:rsidR="005C16F2" w:rsidRDefault="005C16F2" w:rsidP="005C16F2">
      <w:pPr>
        <w:rPr>
          <w:rFonts w:ascii="ITCCenturyBookT" w:hAnsi="ITCCenturyBookT"/>
          <w:sz w:val="22"/>
        </w:rPr>
      </w:pPr>
      <w:r w:rsidRPr="00E96399">
        <w:rPr>
          <w:rFonts w:ascii="ITCCenturyBookT" w:hAnsi="ITCCenturyBookT" w:cs="Arial"/>
          <w:sz w:val="22"/>
          <w:szCs w:val="22"/>
        </w:rPr>
        <w:t>The issue of heath surveillance expectations for contractors is sometimes raised in parallel with EHS-related training for contractors.  Agilent will advise the contractor of hazards that may exist from Agilent operations that may impact contract employees.  Contactor needs to ensure its employees receive the heath surveillance required by regulation.  Contractor is responsible for determining what additional heath surveillance is needed for its employees, and ensuring that health surveillance is received by the appropriate contract employee.</w:t>
      </w:r>
    </w:p>
    <w:p w14:paraId="7195F909" w14:textId="77777777" w:rsidR="005C16F2" w:rsidRDefault="005C16F2" w:rsidP="005C16F2">
      <w:pPr>
        <w:jc w:val="center"/>
        <w:rPr>
          <w:rFonts w:ascii="ITCCenturyBookT" w:hAnsi="ITCCenturyBookT"/>
          <w:sz w:val="22"/>
        </w:rPr>
      </w:pPr>
      <w:r>
        <w:rPr>
          <w:rFonts w:ascii="ITCCenturyBookT" w:hAnsi="ITCCenturyBookT"/>
          <w:sz w:val="22"/>
        </w:rPr>
        <w:br w:type="page"/>
      </w:r>
    </w:p>
    <w:p w14:paraId="217FC69B" w14:textId="77777777" w:rsidR="005C16F2" w:rsidRDefault="005C16F2" w:rsidP="005C16F2">
      <w:pPr>
        <w:spacing w:after="120"/>
        <w:jc w:val="center"/>
        <w:rPr>
          <w:rFonts w:ascii="Univers Condensed" w:hAnsi="Univers Condensed"/>
          <w:b/>
          <w:bCs/>
          <w:caps/>
          <w:sz w:val="28"/>
        </w:rPr>
      </w:pPr>
      <w:r>
        <w:rPr>
          <w:rFonts w:ascii="Univers Condensed" w:hAnsi="Univers Condensed"/>
          <w:b/>
          <w:bCs/>
          <w:caps/>
          <w:sz w:val="28"/>
        </w:rPr>
        <w:lastRenderedPageBreak/>
        <w:t>Appendix E</w:t>
      </w:r>
      <w:r>
        <w:rPr>
          <w:rFonts w:ascii="Univers Condensed" w:hAnsi="Univers Condensed"/>
          <w:b/>
          <w:bCs/>
          <w:caps/>
          <w:sz w:val="28"/>
        </w:rPr>
        <w:tab/>
      </w:r>
    </w:p>
    <w:p w14:paraId="3DF2F735" w14:textId="021C8790" w:rsidR="005C16F2" w:rsidRDefault="00B058E3" w:rsidP="00B058E3">
      <w:pPr>
        <w:tabs>
          <w:tab w:val="center" w:pos="4946"/>
          <w:tab w:val="left" w:pos="8389"/>
        </w:tabs>
        <w:rPr>
          <w:rFonts w:ascii="Univers Condensed" w:hAnsi="Univers Condensed"/>
          <w:caps/>
          <w:sz w:val="28"/>
        </w:rPr>
      </w:pPr>
      <w:r>
        <w:rPr>
          <w:rFonts w:ascii="Univers Condensed" w:hAnsi="Univers Condensed"/>
          <w:b/>
          <w:bCs/>
          <w:caps/>
          <w:sz w:val="28"/>
        </w:rPr>
        <w:tab/>
      </w:r>
      <w:r w:rsidR="005C16F2">
        <w:rPr>
          <w:rFonts w:ascii="Univers Condensed" w:hAnsi="Univers Condensed"/>
          <w:b/>
          <w:bCs/>
          <w:caps/>
          <w:sz w:val="28"/>
        </w:rPr>
        <w:t>Contractor acknowledgement of receipt</w:t>
      </w:r>
      <w:r>
        <w:rPr>
          <w:rFonts w:ascii="Univers Condensed" w:hAnsi="Univers Condensed"/>
          <w:b/>
          <w:bCs/>
          <w:caps/>
          <w:sz w:val="28"/>
        </w:rPr>
        <w:tab/>
      </w:r>
    </w:p>
    <w:p w14:paraId="2D02905C" w14:textId="77777777" w:rsidR="005C16F2" w:rsidRDefault="005C16F2" w:rsidP="005C16F2">
      <w:pPr>
        <w:rPr>
          <w:rFonts w:ascii="Univers Condensed" w:hAnsi="Univers Condensed"/>
          <w:caps/>
          <w:sz w:val="28"/>
        </w:rPr>
      </w:pPr>
    </w:p>
    <w:p w14:paraId="5668E6AC" w14:textId="77777777" w:rsidR="005C16F2" w:rsidRDefault="005C16F2" w:rsidP="005C16F2">
      <w:pPr>
        <w:rPr>
          <w:rFonts w:ascii="ITCCenturyBookT" w:hAnsi="ITCCenturyBookT"/>
          <w:sz w:val="28"/>
        </w:rPr>
      </w:pPr>
      <w:r>
        <w:rPr>
          <w:rFonts w:ascii="ITCCenturyBookT" w:hAnsi="ITCCenturyBookT"/>
          <w:sz w:val="28"/>
        </w:rPr>
        <w:t xml:space="preserve">I have received and reviewed the Agilent Contractor EHS Requirements and understand the requirements applicable to activities our company will be performing at Agilent Technologies.  </w:t>
      </w:r>
    </w:p>
    <w:p w14:paraId="116638BE" w14:textId="77777777" w:rsidR="005C16F2" w:rsidRDefault="005C16F2" w:rsidP="005C16F2">
      <w:pPr>
        <w:rPr>
          <w:rFonts w:ascii="ITCCenturyBookT" w:hAnsi="ITCCenturyBookT"/>
          <w:sz w:val="28"/>
        </w:rPr>
      </w:pPr>
    </w:p>
    <w:p w14:paraId="199B85DA" w14:textId="77777777" w:rsidR="005C16F2" w:rsidRDefault="005C16F2" w:rsidP="005C16F2">
      <w:pPr>
        <w:rPr>
          <w:rFonts w:ascii="ITCCenturyBookT" w:hAnsi="ITCCenturyBookT"/>
          <w:sz w:val="28"/>
        </w:rPr>
      </w:pPr>
      <w:r>
        <w:rPr>
          <w:rFonts w:ascii="ITCCenturyBookT" w:hAnsi="ITCCenturyBookT"/>
          <w:sz w:val="28"/>
        </w:rPr>
        <w:t xml:space="preserve">We will make sure all employees of our company and Sub-Contractor companies understand and agree to the requirements applicable to the activities our company will be performing. </w:t>
      </w:r>
    </w:p>
    <w:p w14:paraId="7E6AB1D7" w14:textId="77777777" w:rsidR="005C16F2" w:rsidRDefault="005C16F2" w:rsidP="005C16F2">
      <w:pPr>
        <w:rPr>
          <w:rFonts w:ascii="Univers Condensed" w:hAnsi="Univers Condensed"/>
          <w:sz w:val="28"/>
        </w:rPr>
      </w:pPr>
    </w:p>
    <w:p w14:paraId="5E358767" w14:textId="77777777" w:rsidR="005C16F2" w:rsidRDefault="005C16F2" w:rsidP="005C16F2">
      <w:pPr>
        <w:rPr>
          <w:rFonts w:ascii="Univers Condensed" w:hAnsi="Univers Condensed"/>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788"/>
      </w:tblGrid>
      <w:tr w:rsidR="005C16F2" w14:paraId="08ECCBBB" w14:textId="77777777" w:rsidTr="003B7895">
        <w:tc>
          <w:tcPr>
            <w:tcW w:w="4788" w:type="dxa"/>
          </w:tcPr>
          <w:p w14:paraId="469875D3" w14:textId="77777777" w:rsidR="005C16F2" w:rsidRDefault="005C16F2" w:rsidP="003B7895">
            <w:pPr>
              <w:rPr>
                <w:rFonts w:ascii="Univers Condensed" w:hAnsi="Univers Condensed"/>
                <w:sz w:val="28"/>
              </w:rPr>
            </w:pPr>
            <w:r>
              <w:rPr>
                <w:rFonts w:ascii="Univers Condensed" w:hAnsi="Univers Condensed"/>
                <w:sz w:val="28"/>
              </w:rPr>
              <w:t>Agilent Technologies</w:t>
            </w:r>
          </w:p>
          <w:p w14:paraId="61ECFFB5" w14:textId="77777777" w:rsidR="005C16F2" w:rsidRDefault="005C16F2" w:rsidP="003B7895">
            <w:pPr>
              <w:rPr>
                <w:rFonts w:ascii="Univers Condensed" w:hAnsi="Univers Condensed"/>
                <w:sz w:val="28"/>
              </w:rPr>
            </w:pPr>
          </w:p>
        </w:tc>
        <w:tc>
          <w:tcPr>
            <w:tcW w:w="4788" w:type="dxa"/>
          </w:tcPr>
          <w:p w14:paraId="5C1ABDB6" w14:textId="77777777" w:rsidR="005C16F2" w:rsidRDefault="005C16F2" w:rsidP="003B7895">
            <w:pPr>
              <w:rPr>
                <w:rFonts w:ascii="Univers Condensed" w:hAnsi="Univers Condensed"/>
                <w:sz w:val="28"/>
              </w:rPr>
            </w:pPr>
            <w:r>
              <w:rPr>
                <w:rFonts w:ascii="Univers Condensed" w:hAnsi="Univers Condensed"/>
                <w:sz w:val="28"/>
              </w:rPr>
              <w:t>Company Name</w:t>
            </w:r>
          </w:p>
        </w:tc>
      </w:tr>
      <w:tr w:rsidR="005C16F2" w14:paraId="34DE125F" w14:textId="77777777" w:rsidTr="003B7895">
        <w:tc>
          <w:tcPr>
            <w:tcW w:w="4788" w:type="dxa"/>
          </w:tcPr>
          <w:p w14:paraId="7F508BE3" w14:textId="77777777" w:rsidR="005C16F2" w:rsidRDefault="005C16F2" w:rsidP="003B7895">
            <w:pPr>
              <w:rPr>
                <w:rFonts w:ascii="Univers Condensed" w:hAnsi="Univers Condensed"/>
                <w:sz w:val="28"/>
              </w:rPr>
            </w:pPr>
            <w:r>
              <w:rPr>
                <w:rFonts w:ascii="Univers Condensed" w:hAnsi="Univers Condensed"/>
                <w:sz w:val="28"/>
              </w:rPr>
              <w:t>Signature:</w:t>
            </w:r>
          </w:p>
          <w:p w14:paraId="50138431" w14:textId="77777777" w:rsidR="005C16F2" w:rsidRPr="001E340C" w:rsidRDefault="005C16F2" w:rsidP="003B7895">
            <w:pPr>
              <w:rPr>
                <w:rFonts w:ascii="Univers Condensed" w:hAnsi="Univers Condensed"/>
                <w:sz w:val="24"/>
                <w:szCs w:val="24"/>
              </w:rPr>
            </w:pPr>
            <w:r w:rsidRPr="001E340C">
              <w:rPr>
                <w:rFonts w:ascii="Univers Condensed" w:hAnsi="Univers Condensed"/>
                <w:sz w:val="24"/>
                <w:szCs w:val="24"/>
              </w:rPr>
              <w:t>(Optional)</w:t>
            </w:r>
          </w:p>
        </w:tc>
        <w:tc>
          <w:tcPr>
            <w:tcW w:w="4788" w:type="dxa"/>
          </w:tcPr>
          <w:p w14:paraId="17C327E4" w14:textId="77777777" w:rsidR="005C16F2" w:rsidRDefault="005C16F2" w:rsidP="003B7895">
            <w:pPr>
              <w:rPr>
                <w:rFonts w:ascii="Univers Condensed" w:hAnsi="Univers Condensed"/>
                <w:sz w:val="28"/>
              </w:rPr>
            </w:pPr>
            <w:r>
              <w:rPr>
                <w:rFonts w:ascii="Univers Condensed" w:hAnsi="Univers Condensed"/>
                <w:sz w:val="28"/>
              </w:rPr>
              <w:t>Signature:</w:t>
            </w:r>
          </w:p>
        </w:tc>
      </w:tr>
      <w:tr w:rsidR="005C16F2" w14:paraId="621E1506" w14:textId="77777777" w:rsidTr="003B7895">
        <w:tc>
          <w:tcPr>
            <w:tcW w:w="4788" w:type="dxa"/>
          </w:tcPr>
          <w:p w14:paraId="4673975C" w14:textId="77777777" w:rsidR="005C16F2" w:rsidRDefault="005C16F2" w:rsidP="003B7895">
            <w:pPr>
              <w:rPr>
                <w:rFonts w:ascii="Univers Condensed" w:hAnsi="Univers Condensed"/>
                <w:sz w:val="28"/>
              </w:rPr>
            </w:pPr>
            <w:r>
              <w:rPr>
                <w:rFonts w:ascii="Univers Condensed" w:hAnsi="Univers Condensed"/>
                <w:sz w:val="28"/>
              </w:rPr>
              <w:t>Typed Name:</w:t>
            </w:r>
          </w:p>
          <w:p w14:paraId="5B827DE3" w14:textId="77777777" w:rsidR="005C16F2" w:rsidRDefault="005C16F2" w:rsidP="003B7895">
            <w:pPr>
              <w:rPr>
                <w:rFonts w:ascii="Univers Condensed" w:hAnsi="Univers Condensed"/>
                <w:sz w:val="28"/>
              </w:rPr>
            </w:pPr>
          </w:p>
        </w:tc>
        <w:tc>
          <w:tcPr>
            <w:tcW w:w="4788" w:type="dxa"/>
          </w:tcPr>
          <w:p w14:paraId="382442A9" w14:textId="77777777" w:rsidR="005C16F2" w:rsidRDefault="005C16F2" w:rsidP="003B7895">
            <w:pPr>
              <w:rPr>
                <w:rFonts w:ascii="Univers Condensed" w:hAnsi="Univers Condensed"/>
                <w:sz w:val="28"/>
              </w:rPr>
            </w:pPr>
            <w:r>
              <w:rPr>
                <w:rFonts w:ascii="Univers Condensed" w:hAnsi="Univers Condensed"/>
                <w:sz w:val="28"/>
              </w:rPr>
              <w:t>Typed Name:</w:t>
            </w:r>
          </w:p>
        </w:tc>
      </w:tr>
      <w:tr w:rsidR="005C16F2" w14:paraId="378F0C04" w14:textId="77777777" w:rsidTr="003B7895">
        <w:tc>
          <w:tcPr>
            <w:tcW w:w="4788" w:type="dxa"/>
          </w:tcPr>
          <w:p w14:paraId="371979E5" w14:textId="77777777" w:rsidR="005C16F2" w:rsidRDefault="005C16F2" w:rsidP="003B7895">
            <w:pPr>
              <w:rPr>
                <w:rFonts w:ascii="Univers Condensed" w:hAnsi="Univers Condensed"/>
                <w:sz w:val="28"/>
              </w:rPr>
            </w:pPr>
            <w:r>
              <w:rPr>
                <w:rFonts w:ascii="Univers Condensed" w:hAnsi="Univers Condensed"/>
                <w:sz w:val="28"/>
              </w:rPr>
              <w:t>Title:</w:t>
            </w:r>
          </w:p>
          <w:p w14:paraId="6766238D" w14:textId="77777777" w:rsidR="005C16F2" w:rsidRDefault="005C16F2" w:rsidP="003B7895">
            <w:pPr>
              <w:rPr>
                <w:rFonts w:ascii="Univers Condensed" w:hAnsi="Univers Condensed"/>
                <w:sz w:val="28"/>
              </w:rPr>
            </w:pPr>
          </w:p>
        </w:tc>
        <w:tc>
          <w:tcPr>
            <w:tcW w:w="4788" w:type="dxa"/>
          </w:tcPr>
          <w:p w14:paraId="546EBE80" w14:textId="77777777" w:rsidR="005C16F2" w:rsidRDefault="005C16F2" w:rsidP="003B7895">
            <w:pPr>
              <w:rPr>
                <w:rFonts w:ascii="Univers Condensed" w:hAnsi="Univers Condensed"/>
                <w:sz w:val="28"/>
              </w:rPr>
            </w:pPr>
            <w:r>
              <w:rPr>
                <w:rFonts w:ascii="Univers Condensed" w:hAnsi="Univers Condensed"/>
                <w:sz w:val="28"/>
              </w:rPr>
              <w:t>Title:</w:t>
            </w:r>
          </w:p>
        </w:tc>
      </w:tr>
      <w:tr w:rsidR="005C16F2" w14:paraId="5BC9F049" w14:textId="77777777" w:rsidTr="003B7895">
        <w:tc>
          <w:tcPr>
            <w:tcW w:w="4788" w:type="dxa"/>
          </w:tcPr>
          <w:p w14:paraId="05CCD54A" w14:textId="77777777" w:rsidR="005C16F2" w:rsidRDefault="005C16F2" w:rsidP="003B7895">
            <w:pPr>
              <w:rPr>
                <w:rFonts w:ascii="Univers Condensed" w:hAnsi="Univers Condensed"/>
                <w:sz w:val="28"/>
              </w:rPr>
            </w:pPr>
            <w:r>
              <w:rPr>
                <w:rFonts w:ascii="Univers Condensed" w:hAnsi="Univers Condensed"/>
                <w:sz w:val="28"/>
              </w:rPr>
              <w:t>Date:</w:t>
            </w:r>
          </w:p>
          <w:p w14:paraId="1E1F3793" w14:textId="77777777" w:rsidR="005C16F2" w:rsidRDefault="005C16F2" w:rsidP="003B7895">
            <w:pPr>
              <w:rPr>
                <w:rFonts w:ascii="Univers Condensed" w:hAnsi="Univers Condensed"/>
                <w:sz w:val="28"/>
              </w:rPr>
            </w:pPr>
          </w:p>
        </w:tc>
        <w:tc>
          <w:tcPr>
            <w:tcW w:w="4788" w:type="dxa"/>
          </w:tcPr>
          <w:p w14:paraId="2EA3C504" w14:textId="77777777" w:rsidR="005C16F2" w:rsidRDefault="005C16F2" w:rsidP="003B7895">
            <w:pPr>
              <w:rPr>
                <w:rFonts w:ascii="Univers Condensed" w:hAnsi="Univers Condensed"/>
                <w:sz w:val="28"/>
              </w:rPr>
            </w:pPr>
            <w:r>
              <w:rPr>
                <w:rFonts w:ascii="Univers Condensed" w:hAnsi="Univers Condensed"/>
                <w:sz w:val="28"/>
              </w:rPr>
              <w:t>Date:</w:t>
            </w:r>
          </w:p>
        </w:tc>
      </w:tr>
    </w:tbl>
    <w:p w14:paraId="6D140572" w14:textId="77777777" w:rsidR="005C16F2" w:rsidRDefault="005C16F2" w:rsidP="005C16F2">
      <w:pPr>
        <w:rPr>
          <w:rFonts w:ascii="Univers Condensed" w:hAnsi="Univers Condensed"/>
          <w:sz w:val="28"/>
        </w:rPr>
      </w:pPr>
    </w:p>
    <w:p w14:paraId="3421D9F4" w14:textId="77777777" w:rsidR="005C16F2" w:rsidRDefault="005C16F2" w:rsidP="005C16F2">
      <w:pPr>
        <w:rPr>
          <w:rFonts w:ascii="Univers Condensed" w:hAnsi="Univers Condensed"/>
          <w:sz w:val="28"/>
        </w:rPr>
      </w:pPr>
    </w:p>
    <w:p w14:paraId="11B342EE" w14:textId="77777777" w:rsidR="005C16F2" w:rsidRDefault="005C16F2" w:rsidP="005C16F2">
      <w:pPr>
        <w:rPr>
          <w:rFonts w:ascii="Univers Condensed" w:hAnsi="Univers Condensed"/>
          <w:sz w:val="28"/>
        </w:rPr>
      </w:pPr>
    </w:p>
    <w:p w14:paraId="251B5D69" w14:textId="77777777" w:rsidR="005C16F2" w:rsidRDefault="005C16F2" w:rsidP="005C16F2">
      <w:pPr>
        <w:rPr>
          <w:rFonts w:ascii="Univers Condensed" w:hAnsi="Univers Condensed"/>
          <w:sz w:val="28"/>
        </w:rPr>
      </w:pPr>
    </w:p>
    <w:p w14:paraId="25DB3A6C" w14:textId="77777777" w:rsidR="005C16F2" w:rsidRDefault="005C16F2" w:rsidP="005C16F2">
      <w:pPr>
        <w:rPr>
          <w:rFonts w:ascii="Univers Condensed" w:hAnsi="Univers Condensed"/>
          <w:sz w:val="28"/>
        </w:rPr>
      </w:pPr>
    </w:p>
    <w:p w14:paraId="665CFA54" w14:textId="77777777" w:rsidR="005C16F2" w:rsidRDefault="005C16F2" w:rsidP="005C16F2">
      <w:pPr>
        <w:rPr>
          <w:rFonts w:ascii="Univers Condensed" w:hAnsi="Univers Condensed"/>
          <w:sz w:val="28"/>
        </w:rPr>
      </w:pPr>
    </w:p>
    <w:p w14:paraId="17FC5218" w14:textId="77777777" w:rsidR="005C16F2" w:rsidRDefault="005C16F2" w:rsidP="005C16F2">
      <w:pPr>
        <w:rPr>
          <w:rFonts w:ascii="Univers Condensed" w:hAnsi="Univers Condensed"/>
          <w:sz w:val="28"/>
        </w:rPr>
      </w:pPr>
    </w:p>
    <w:p w14:paraId="45E61392" w14:textId="77777777" w:rsidR="005C16F2" w:rsidRDefault="005C16F2" w:rsidP="005C16F2">
      <w:pPr>
        <w:rPr>
          <w:rFonts w:ascii="Univers Condensed" w:hAnsi="Univers Condensed"/>
          <w:sz w:val="28"/>
        </w:rPr>
      </w:pPr>
    </w:p>
    <w:p w14:paraId="2689B25D" w14:textId="77777777" w:rsidR="005C16F2" w:rsidRDefault="005C16F2" w:rsidP="005C16F2">
      <w:pPr>
        <w:rPr>
          <w:rFonts w:ascii="Univers Condensed" w:hAnsi="Univers Condensed"/>
          <w:sz w:val="28"/>
        </w:rPr>
      </w:pPr>
    </w:p>
    <w:p w14:paraId="0B8C69F6" w14:textId="77777777" w:rsidR="005C16F2" w:rsidRDefault="005C16F2" w:rsidP="005C16F2">
      <w:pPr>
        <w:pBdr>
          <w:bottom w:val="single" w:sz="6" w:space="1" w:color="auto"/>
        </w:pBdr>
        <w:rPr>
          <w:rFonts w:ascii="Univers Condensed" w:hAnsi="Univers Condensed"/>
          <w:sz w:val="28"/>
        </w:rPr>
      </w:pPr>
    </w:p>
    <w:p w14:paraId="24C9C37B" w14:textId="77777777" w:rsidR="005C16F2" w:rsidRPr="00E60D0D" w:rsidRDefault="005C16F2" w:rsidP="005C16F2">
      <w:pPr>
        <w:pStyle w:val="heading1"/>
        <w:numPr>
          <w:ilvl w:val="0"/>
          <w:numId w:val="0"/>
        </w:numPr>
        <w:rPr>
          <w:b w:val="0"/>
          <w:sz w:val="20"/>
        </w:rPr>
      </w:pPr>
    </w:p>
    <w:p w14:paraId="6B5D199A" w14:textId="77777777" w:rsidR="005C16F2" w:rsidRPr="007757AE" w:rsidRDefault="005C16F2" w:rsidP="005C16F2">
      <w:pPr>
        <w:pStyle w:val="heading1"/>
        <w:numPr>
          <w:ilvl w:val="0"/>
          <w:numId w:val="0"/>
        </w:numPr>
        <w:rPr>
          <w:rFonts w:ascii="ITCCenturyBookT" w:hAnsi="ITCCenturyBookT"/>
          <w:b w:val="0"/>
          <w:i/>
        </w:rPr>
      </w:pPr>
      <w:r w:rsidRPr="007757AE">
        <w:rPr>
          <w:sz w:val="20"/>
        </w:rPr>
        <w:t xml:space="preserve">Disclaimer for Distribution External to Agilent: </w:t>
      </w:r>
      <w:r>
        <w:t xml:space="preserve"> </w:t>
      </w:r>
      <w:r w:rsidRPr="007757AE">
        <w:rPr>
          <w:rFonts w:ascii="ITCCenturyBookT" w:hAnsi="ITCCenturyBookT"/>
          <w:b w:val="0"/>
          <w:i/>
          <w:sz w:val="18"/>
          <w:szCs w:val="18"/>
        </w:rPr>
        <w:t xml:space="preserve">The information provided in this document is confidential, based on information available to Agilent Technologies, Inc. at the time of preparation and believed to be accurate.  The information provided does not </w:t>
      </w:r>
      <w:r w:rsidRPr="007757AE">
        <w:rPr>
          <w:rFonts w:ascii="ITCCenturyBookT" w:hAnsi="ITCCenturyBookT"/>
          <w:b w:val="0"/>
          <w:i/>
          <w:sz w:val="18"/>
          <w:szCs w:val="18"/>
        </w:rPr>
        <w:lastRenderedPageBreak/>
        <w:t>purport to be all-inclusive or contain all the information that is required by the third party to which Agilent has provided it.  The information contained herein are provided “AS IS” and are subject to change without notice.  Agilent makes no representations or warranties of any kind, express or implied and will not be liable for any damages resulting from or in connection with their use.</w:t>
      </w:r>
    </w:p>
    <w:p w14:paraId="1B532B16" w14:textId="50085629" w:rsidR="009626ED" w:rsidRDefault="009626ED" w:rsidP="005C16F2"/>
    <w:p w14:paraId="4B670763" w14:textId="77777777" w:rsidR="009626ED" w:rsidRPr="009626ED" w:rsidRDefault="009626ED" w:rsidP="009626ED"/>
    <w:p w14:paraId="0E3537A6" w14:textId="77777777" w:rsidR="009626ED" w:rsidRPr="009626ED" w:rsidRDefault="009626ED" w:rsidP="009626ED"/>
    <w:p w14:paraId="05D2A2A9" w14:textId="77777777" w:rsidR="009626ED" w:rsidRPr="009626ED" w:rsidRDefault="009626ED" w:rsidP="009626ED"/>
    <w:p w14:paraId="0E6AA1DC" w14:textId="77777777" w:rsidR="009626ED" w:rsidRPr="009626ED" w:rsidRDefault="009626ED" w:rsidP="009626ED"/>
    <w:p w14:paraId="6D540F95" w14:textId="77777777" w:rsidR="009626ED" w:rsidRPr="009626ED" w:rsidRDefault="009626ED" w:rsidP="009626ED"/>
    <w:p w14:paraId="4CFE13AD" w14:textId="77777777" w:rsidR="009626ED" w:rsidRPr="009626ED" w:rsidRDefault="009626ED" w:rsidP="009626ED"/>
    <w:p w14:paraId="6F755B7A" w14:textId="77777777" w:rsidR="009626ED" w:rsidRPr="009626ED" w:rsidRDefault="009626ED" w:rsidP="009626ED"/>
    <w:p w14:paraId="232BC7EA" w14:textId="77777777" w:rsidR="009626ED" w:rsidRPr="009626ED" w:rsidRDefault="009626ED" w:rsidP="009626ED"/>
    <w:p w14:paraId="7C5468C6" w14:textId="77777777" w:rsidR="009626ED" w:rsidRPr="009626ED" w:rsidRDefault="009626ED" w:rsidP="009626ED"/>
    <w:p w14:paraId="55AC7395" w14:textId="77777777" w:rsidR="009626ED" w:rsidRPr="009626ED" w:rsidRDefault="009626ED" w:rsidP="009626ED"/>
    <w:p w14:paraId="1572978C" w14:textId="77777777" w:rsidR="009626ED" w:rsidRPr="009626ED" w:rsidRDefault="009626ED" w:rsidP="009626ED"/>
    <w:p w14:paraId="12F33382" w14:textId="77777777" w:rsidR="009626ED" w:rsidRPr="009626ED" w:rsidRDefault="009626ED" w:rsidP="009626ED"/>
    <w:p w14:paraId="37C22681" w14:textId="77777777" w:rsidR="009626ED" w:rsidRPr="009626ED" w:rsidRDefault="009626ED" w:rsidP="009626ED"/>
    <w:p w14:paraId="3089E0D6" w14:textId="77777777" w:rsidR="009626ED" w:rsidRPr="009626ED" w:rsidRDefault="009626ED" w:rsidP="009626ED"/>
    <w:p w14:paraId="2A2899A0" w14:textId="77777777" w:rsidR="009626ED" w:rsidRPr="009626ED" w:rsidRDefault="009626ED" w:rsidP="009626ED"/>
    <w:p w14:paraId="249AACDE" w14:textId="77777777" w:rsidR="009626ED" w:rsidRPr="009626ED" w:rsidRDefault="009626ED" w:rsidP="009626ED"/>
    <w:p w14:paraId="126325E2" w14:textId="77777777" w:rsidR="009626ED" w:rsidRPr="009626ED" w:rsidRDefault="009626ED" w:rsidP="009626ED"/>
    <w:p w14:paraId="22F8EB37" w14:textId="77777777" w:rsidR="009626ED" w:rsidRPr="009626ED" w:rsidRDefault="009626ED" w:rsidP="009626ED"/>
    <w:p w14:paraId="1E6C6A4D" w14:textId="77777777" w:rsidR="009626ED" w:rsidRPr="009626ED" w:rsidRDefault="009626ED" w:rsidP="009626ED"/>
    <w:p w14:paraId="0EDFD603" w14:textId="77777777" w:rsidR="009626ED" w:rsidRPr="009626ED" w:rsidRDefault="009626ED" w:rsidP="009626ED"/>
    <w:p w14:paraId="7EC85820" w14:textId="77777777" w:rsidR="009626ED" w:rsidRPr="009626ED" w:rsidRDefault="009626ED" w:rsidP="009626ED"/>
    <w:p w14:paraId="2EA0697E" w14:textId="77777777" w:rsidR="009626ED" w:rsidRPr="009626ED" w:rsidRDefault="009626ED" w:rsidP="009626ED"/>
    <w:p w14:paraId="0C605326" w14:textId="77777777" w:rsidR="009626ED" w:rsidRPr="009626ED" w:rsidRDefault="009626ED" w:rsidP="009626ED"/>
    <w:p w14:paraId="6FCBBF62" w14:textId="77777777" w:rsidR="009626ED" w:rsidRPr="009626ED" w:rsidRDefault="009626ED" w:rsidP="009626ED"/>
    <w:p w14:paraId="42616F7B" w14:textId="77777777" w:rsidR="009626ED" w:rsidRPr="009626ED" w:rsidRDefault="009626ED" w:rsidP="009626ED"/>
    <w:p w14:paraId="769BCCA1" w14:textId="77777777" w:rsidR="009626ED" w:rsidRPr="009626ED" w:rsidRDefault="009626ED" w:rsidP="009626ED"/>
    <w:p w14:paraId="507090CB" w14:textId="77777777" w:rsidR="009626ED" w:rsidRPr="009626ED" w:rsidRDefault="009626ED" w:rsidP="009626ED"/>
    <w:p w14:paraId="1ABBB6CB" w14:textId="77777777" w:rsidR="009626ED" w:rsidRPr="009626ED" w:rsidRDefault="009626ED" w:rsidP="009626ED"/>
    <w:p w14:paraId="3F6C8A9C" w14:textId="77777777" w:rsidR="009626ED" w:rsidRPr="009626ED" w:rsidRDefault="009626ED" w:rsidP="009626ED"/>
    <w:p w14:paraId="3A92CFB0" w14:textId="77777777" w:rsidR="009626ED" w:rsidRPr="009626ED" w:rsidRDefault="009626ED" w:rsidP="009626ED"/>
    <w:p w14:paraId="19D89869" w14:textId="77777777" w:rsidR="009626ED" w:rsidRPr="009626ED" w:rsidRDefault="009626ED" w:rsidP="009626ED"/>
    <w:p w14:paraId="49E69D2A" w14:textId="77777777" w:rsidR="009626ED" w:rsidRPr="009626ED" w:rsidRDefault="009626ED" w:rsidP="009626ED"/>
    <w:p w14:paraId="336367EB" w14:textId="77777777" w:rsidR="009626ED" w:rsidRPr="009626ED" w:rsidRDefault="009626ED" w:rsidP="009626ED"/>
    <w:p w14:paraId="32E5D844" w14:textId="77777777" w:rsidR="009626ED" w:rsidRPr="009626ED" w:rsidRDefault="009626ED" w:rsidP="009626ED"/>
    <w:p w14:paraId="6ADE3EE7" w14:textId="3301A3B8" w:rsidR="009626ED" w:rsidRDefault="009626ED" w:rsidP="009626ED"/>
    <w:p w14:paraId="60F2864F" w14:textId="7694AF2B" w:rsidR="00767050" w:rsidRPr="009626ED" w:rsidRDefault="009626ED" w:rsidP="009626ED">
      <w:pPr>
        <w:tabs>
          <w:tab w:val="left" w:pos="7342"/>
        </w:tabs>
      </w:pPr>
      <w:r>
        <w:tab/>
      </w:r>
    </w:p>
    <w:sectPr w:rsidR="00767050" w:rsidRPr="009626ED" w:rsidSect="00693C9B">
      <w:headerReference w:type="default" r:id="rId20"/>
      <w:footerReference w:type="default" r:id="rId21"/>
      <w:type w:val="oddPage"/>
      <w:pgSz w:w="12240" w:h="15840" w:code="1"/>
      <w:pgMar w:top="1440" w:right="907" w:bottom="864" w:left="1440" w:header="720" w:footer="720"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532B1E" w14:textId="77777777" w:rsidR="003B7895" w:rsidRDefault="003B7895">
      <w:r>
        <w:separator/>
      </w:r>
    </w:p>
  </w:endnote>
  <w:endnote w:type="continuationSeparator" w:id="0">
    <w:p w14:paraId="1B532B1F" w14:textId="77777777" w:rsidR="003B7895" w:rsidRDefault="003B7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Condensed">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ITCCenturyBookT">
    <w:altName w:val="Times New Roman"/>
    <w:charset w:val="00"/>
    <w:family w:val="auto"/>
    <w:pitch w:val="variable"/>
    <w:sig w:usb0="00000003" w:usb1="00000000" w:usb2="00000000" w:usb3="00000000" w:csb0="00000001" w:csb1="00000000"/>
  </w:font>
  <w:font w:name="Agilent Logo">
    <w:panose1 w:val="050B0000000000000000"/>
    <w:charset w:val="02"/>
    <w:family w:val="swiss"/>
    <w:pitch w:val="variable"/>
    <w:sig w:usb0="8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E08D6" w14:textId="77777777" w:rsidR="003B7895" w:rsidRDefault="003B7895" w:rsidP="007E6458">
    <w:pPr>
      <w:pStyle w:val="Footer"/>
      <w:jc w:val="center"/>
      <w:rPr>
        <w:b/>
        <w:i/>
        <w:noProof/>
        <w:sz w:val="16"/>
      </w:rPr>
    </w:pPr>
  </w:p>
  <w:p w14:paraId="7E15C2F2" w14:textId="77777777" w:rsidR="003B7895" w:rsidRDefault="003B7895" w:rsidP="007E6458">
    <w:pPr>
      <w:pStyle w:val="Footer"/>
      <w:pBdr>
        <w:top w:val="single" w:sz="6" w:space="2" w:color="000000"/>
      </w:pBdr>
      <w:jc w:val="center"/>
      <w:rPr>
        <w:sz w:val="16"/>
      </w:rPr>
    </w:pPr>
    <w:r w:rsidRPr="000576A5">
      <w:rPr>
        <w:b/>
        <w:sz w:val="16"/>
        <w:szCs w:val="16"/>
      </w:rPr>
      <w:t>For external distribution see disclaimer on first and last page of document</w:t>
    </w:r>
    <w:r>
      <w:rPr>
        <w:b/>
        <w:sz w:val="16"/>
        <w:szCs w:val="16"/>
      </w:rPr>
      <w:t>.</w:t>
    </w:r>
  </w:p>
  <w:p w14:paraId="23E4A983" w14:textId="77777777" w:rsidR="003B7895" w:rsidRDefault="003B7895" w:rsidP="007E6458">
    <w:pPr>
      <w:pStyle w:val="Footer"/>
      <w:pBdr>
        <w:top w:val="single" w:sz="6" w:space="2" w:color="000000"/>
      </w:pBdr>
      <w:jc w:val="center"/>
      <w:rPr>
        <w:sz w:val="16"/>
      </w:rPr>
    </w:pPr>
    <w:r>
      <w:rPr>
        <w:sz w:val="16"/>
      </w:rPr>
      <w:t xml:space="preserve">Any printed copy of this document is an uncontrolled document.  The current version is available at </w:t>
    </w:r>
    <w:hyperlink r:id="rId1" w:history="1">
      <w:r>
        <w:rPr>
          <w:rStyle w:val="xxsmall"/>
          <w:color w:val="000000"/>
        </w:rPr>
        <w:t xml:space="preserve"> </w:t>
      </w:r>
      <w:hyperlink r:id="rId2" w:history="1">
        <w:r>
          <w:rPr>
            <w:rStyle w:val="Hyperlink"/>
            <w:sz w:val="16"/>
            <w:szCs w:val="16"/>
          </w:rPr>
          <w:t>http://sharedoc.collaboration.agilent.com/sites/EHS/SD/KP/Business Management System (Quality-EH-S)/008550.doc</w:t>
        </w:r>
      </w:hyperlink>
    </w:hyperlink>
  </w:p>
  <w:p w14:paraId="1647DA23" w14:textId="08241516" w:rsidR="003B7895" w:rsidRDefault="003B7895" w:rsidP="007E6458">
    <w:pPr>
      <w:pStyle w:val="Footer"/>
      <w:tabs>
        <w:tab w:val="clear" w:pos="4320"/>
        <w:tab w:val="clear" w:pos="8640"/>
        <w:tab w:val="center" w:pos="4860"/>
        <w:tab w:val="right" w:pos="9630"/>
      </w:tabs>
      <w:rPr>
        <w:rFonts w:ascii="Univers Condensed" w:hAnsi="Univers Condensed"/>
        <w:i/>
        <w:sz w:val="22"/>
      </w:rPr>
    </w:pPr>
    <w:r>
      <w:rPr>
        <w:sz w:val="16"/>
      </w:rPr>
      <w:t>March 2018</w:t>
    </w:r>
    <w:r>
      <w:rPr>
        <w:sz w:val="16"/>
      </w:rPr>
      <w:tab/>
      <w:t xml:space="preserve">Page </w:t>
    </w:r>
    <w:r>
      <w:rPr>
        <w:sz w:val="16"/>
      </w:rPr>
      <w:fldChar w:fldCharType="begin"/>
    </w:r>
    <w:r>
      <w:rPr>
        <w:sz w:val="16"/>
      </w:rPr>
      <w:instrText xml:space="preserve"> PAGE \* MERGEFORMAT </w:instrText>
    </w:r>
    <w:r>
      <w:rPr>
        <w:sz w:val="16"/>
      </w:rPr>
      <w:fldChar w:fldCharType="separate"/>
    </w:r>
    <w:r w:rsidR="00D3542A">
      <w:rPr>
        <w:noProof/>
        <w:sz w:val="16"/>
      </w:rPr>
      <w:t>2</w:t>
    </w:r>
    <w:r>
      <w:rPr>
        <w:sz w:val="16"/>
      </w:rPr>
      <w:fldChar w:fldCharType="end"/>
    </w:r>
    <w:r>
      <w:rPr>
        <w:sz w:val="16"/>
      </w:rPr>
      <w:t xml:space="preserve"> of </w:t>
    </w:r>
    <w:r w:rsidR="00D3542A">
      <w:fldChar w:fldCharType="begin"/>
    </w:r>
    <w:r w:rsidR="00D3542A">
      <w:instrText xml:space="preserve"> NUMPAGES \* MERGEFORMAT </w:instrText>
    </w:r>
    <w:r w:rsidR="00D3542A">
      <w:fldChar w:fldCharType="separate"/>
    </w:r>
    <w:r w:rsidR="00D3542A" w:rsidRPr="00D3542A">
      <w:rPr>
        <w:noProof/>
        <w:sz w:val="16"/>
      </w:rPr>
      <w:t>22</w:t>
    </w:r>
    <w:r w:rsidR="00D3542A">
      <w:rPr>
        <w:noProof/>
        <w:sz w:val="16"/>
      </w:rPr>
      <w:fldChar w:fldCharType="end"/>
    </w:r>
    <w:r>
      <w:tab/>
    </w:r>
    <w:r>
      <w:rPr>
        <w:sz w:val="16"/>
      </w:rPr>
      <w:t>Rev 19</w:t>
    </w:r>
  </w:p>
  <w:p w14:paraId="1B532B27" w14:textId="78EFC38E" w:rsidR="003B7895" w:rsidRPr="007E6458" w:rsidRDefault="003B7895" w:rsidP="007E64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532B1C" w14:textId="77777777" w:rsidR="003B7895" w:rsidRDefault="003B7895">
      <w:r>
        <w:separator/>
      </w:r>
    </w:p>
  </w:footnote>
  <w:footnote w:type="continuationSeparator" w:id="0">
    <w:p w14:paraId="1B532B1D" w14:textId="77777777" w:rsidR="003B7895" w:rsidRDefault="003B7895">
      <w:r>
        <w:continuationSeparator/>
      </w:r>
    </w:p>
  </w:footnote>
  <w:footnote w:id="1">
    <w:p w14:paraId="6DAC1391" w14:textId="77777777" w:rsidR="003B7895" w:rsidRDefault="003B7895" w:rsidP="005C16F2">
      <w:pPr>
        <w:pStyle w:val="FootnoteText"/>
        <w:rPr>
          <w:rFonts w:ascii="Univers Condensed" w:hAnsi="Univers Condensed"/>
          <w:color w:val="000000"/>
        </w:rPr>
      </w:pPr>
      <w:r>
        <w:rPr>
          <w:rStyle w:val="FootnoteReference"/>
          <w:rFonts w:ascii="Univers Condensed" w:hAnsi="Univers Condensed"/>
          <w:color w:val="000000"/>
        </w:rPr>
        <w:t>1</w:t>
      </w:r>
      <w:r>
        <w:rPr>
          <w:rFonts w:ascii="Univers Condensed" w:hAnsi="Univers Condensed"/>
          <w:color w:val="000000"/>
        </w:rPr>
        <w:t xml:space="preserve"> See Appendix C for site specific information</w:t>
      </w:r>
    </w:p>
  </w:footnote>
  <w:footnote w:id="2">
    <w:p w14:paraId="7D778DCB" w14:textId="77777777" w:rsidR="003B7895" w:rsidRDefault="003B7895" w:rsidP="005C16F2">
      <w:pPr>
        <w:pStyle w:val="FootnoteText"/>
        <w:rPr>
          <w:rFonts w:ascii="Univers Condensed" w:hAnsi="Univers Condensed"/>
        </w:rPr>
      </w:pPr>
      <w:r>
        <w:rPr>
          <w:rStyle w:val="FootnoteReference"/>
          <w:rFonts w:ascii="Univers Condensed" w:hAnsi="Univers Condensed"/>
        </w:rPr>
        <w:t>1</w:t>
      </w:r>
      <w:r>
        <w:rPr>
          <w:rFonts w:ascii="Univers Condensed" w:hAnsi="Univers Condensed"/>
        </w:rPr>
        <w:t xml:space="preserve"> See Appendix C for site specific information</w:t>
      </w:r>
    </w:p>
  </w:footnote>
  <w:footnote w:id="3">
    <w:p w14:paraId="6E87A924" w14:textId="77777777" w:rsidR="003B7895" w:rsidRDefault="003B7895" w:rsidP="005C16F2">
      <w:pPr>
        <w:pStyle w:val="FootnoteText"/>
        <w:rPr>
          <w:rFonts w:ascii="Univers Condensed" w:hAnsi="Univers Condensed"/>
        </w:rPr>
      </w:pPr>
      <w:r>
        <w:rPr>
          <w:rStyle w:val="FootnoteReference"/>
          <w:rFonts w:ascii="Univers Condensed" w:hAnsi="Univers Condensed"/>
        </w:rPr>
        <w:t>1</w:t>
      </w:r>
      <w:r>
        <w:rPr>
          <w:rFonts w:ascii="Univers Condensed" w:hAnsi="Univers Condensed"/>
        </w:rPr>
        <w:t xml:space="preserve"> see Appendix C for site specific information</w:t>
      </w:r>
    </w:p>
  </w:footnote>
  <w:footnote w:id="4">
    <w:p w14:paraId="6570C8C8" w14:textId="77777777" w:rsidR="003B7895" w:rsidRDefault="003B7895" w:rsidP="005C16F2">
      <w:pPr>
        <w:pStyle w:val="FootnoteText"/>
        <w:rPr>
          <w:rFonts w:ascii="Univers Condensed" w:hAnsi="Univers Condensed"/>
        </w:rPr>
      </w:pPr>
      <w:r>
        <w:rPr>
          <w:rStyle w:val="FootnoteReference"/>
          <w:rFonts w:ascii="Univers Condensed" w:hAnsi="Univers Condensed"/>
        </w:rPr>
        <w:t>1</w:t>
      </w:r>
      <w:r>
        <w:rPr>
          <w:rFonts w:ascii="Univers Condensed" w:hAnsi="Univers Condensed"/>
        </w:rPr>
        <w:t xml:space="preserve"> see Appendix C for site specific information</w:t>
      </w:r>
    </w:p>
  </w:footnote>
  <w:footnote w:id="5">
    <w:p w14:paraId="32D3807E" w14:textId="77777777" w:rsidR="003B7895" w:rsidRDefault="003B7895" w:rsidP="005C16F2">
      <w:pPr>
        <w:pStyle w:val="FootnoteText"/>
        <w:rPr>
          <w:rFonts w:ascii="Univers Condensed" w:hAnsi="Univers Condensed"/>
        </w:rPr>
      </w:pPr>
      <w:r>
        <w:rPr>
          <w:rStyle w:val="FootnoteReference"/>
          <w:rFonts w:ascii="Univers Condensed" w:hAnsi="Univers Condensed"/>
        </w:rPr>
        <w:t>1</w:t>
      </w:r>
      <w:r>
        <w:rPr>
          <w:rFonts w:ascii="Univers Condensed" w:hAnsi="Univers Condensed"/>
        </w:rPr>
        <w:t xml:space="preserve"> see Appendix C for site specific information</w:t>
      </w:r>
    </w:p>
  </w:footnote>
  <w:footnote w:id="6">
    <w:p w14:paraId="76F52176" w14:textId="77777777" w:rsidR="003B7895" w:rsidRDefault="003B7895" w:rsidP="005C16F2">
      <w:pPr>
        <w:pStyle w:val="FootnoteText"/>
      </w:pPr>
      <w:r>
        <w:rPr>
          <w:rStyle w:val="FootnoteReference"/>
          <w:rFonts w:ascii="Univers Condensed" w:hAnsi="Univers Condensed"/>
        </w:rPr>
        <w:t>1</w:t>
      </w:r>
      <w:r>
        <w:rPr>
          <w:rFonts w:ascii="Univers Condensed" w:hAnsi="Univers Condensed"/>
        </w:rPr>
        <w:t xml:space="preserve"> see Appendix C for site specific information</w:t>
      </w:r>
    </w:p>
  </w:footnote>
  <w:footnote w:id="7">
    <w:p w14:paraId="351194D8" w14:textId="77777777" w:rsidR="003B7895" w:rsidRDefault="003B7895" w:rsidP="005C16F2">
      <w:pPr>
        <w:pStyle w:val="FootnoteText"/>
        <w:rPr>
          <w:rFonts w:ascii="Univers Condensed" w:hAnsi="Univers Condensed"/>
        </w:rPr>
      </w:pPr>
    </w:p>
  </w:footnote>
  <w:footnote w:id="8">
    <w:p w14:paraId="7E87E860" w14:textId="77777777" w:rsidR="003B7895" w:rsidRDefault="003B7895" w:rsidP="005C16F2">
      <w:pPr>
        <w:pStyle w:val="FootnoteText"/>
        <w:rPr>
          <w:rFonts w:ascii="Univers Condensed" w:hAnsi="Univers Condensed"/>
        </w:rPr>
      </w:pPr>
      <w:r>
        <w:rPr>
          <w:rStyle w:val="FootnoteReference"/>
          <w:rFonts w:ascii="Univers Condensed" w:hAnsi="Univers Condensed"/>
        </w:rPr>
        <w:t>1</w:t>
      </w:r>
      <w:r>
        <w:rPr>
          <w:rFonts w:ascii="Univers Condensed" w:hAnsi="Univers Condensed"/>
        </w:rPr>
        <w:t xml:space="preserve"> see Appendix C for site specific information</w:t>
      </w:r>
    </w:p>
  </w:footnote>
  <w:footnote w:id="9">
    <w:p w14:paraId="3EEA96C6" w14:textId="77777777" w:rsidR="003B7895" w:rsidRDefault="003B7895" w:rsidP="005C16F2">
      <w:pPr>
        <w:pStyle w:val="FootnoteText"/>
        <w:rPr>
          <w:rFonts w:ascii="Univers Condensed" w:hAnsi="Univers Condensed"/>
        </w:rPr>
      </w:pPr>
      <w:r>
        <w:rPr>
          <w:rStyle w:val="FootnoteReference"/>
          <w:rFonts w:ascii="Univers Condensed" w:hAnsi="Univers Condensed"/>
        </w:rPr>
        <w:t>1</w:t>
      </w:r>
      <w:r>
        <w:rPr>
          <w:rFonts w:ascii="Univers Condensed" w:hAnsi="Univers Condensed"/>
        </w:rPr>
        <w:t xml:space="preserve"> see Appendix C for site specific information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532B20" w14:textId="77777777" w:rsidR="003B7895" w:rsidRDefault="003B7895">
    <w:pPr>
      <w:pStyle w:val="Header"/>
      <w:tabs>
        <w:tab w:val="clear" w:pos="4320"/>
        <w:tab w:val="clear" w:pos="8640"/>
      </w:tabs>
      <w:ind w:right="-720"/>
      <w:rPr>
        <w:rFonts w:ascii="Agilent Logo" w:hAnsi="Agilent Logo"/>
        <w:sz w:val="52"/>
      </w:rPr>
    </w:pPr>
    <w:r>
      <w:rPr>
        <w:rFonts w:ascii="Agilent Logo" w:hAnsi="Agilent Logo"/>
        <w:snapToGrid w:val="0"/>
        <w:sz w:val="52"/>
      </w:rPr>
      <w:t></w:t>
    </w:r>
    <w:r>
      <w:rPr>
        <w:rFonts w:ascii="Agilent Logo" w:hAnsi="Agilent Logo"/>
        <w:snapToGrid w:val="0"/>
        <w:sz w:val="52"/>
      </w:rPr>
      <w:t></w:t>
    </w:r>
    <w:r>
      <w:rPr>
        <w:rFonts w:ascii="Agilent Logo" w:hAnsi="Agilent Logo"/>
        <w:snapToGrid w:val="0"/>
        <w:sz w:val="52"/>
      </w:rPr>
      <w:t></w:t>
    </w:r>
    <w:r w:rsidR="00D3542A">
      <w:rPr>
        <w:rFonts w:ascii="Agilent Logo" w:hAnsi="Agilent Logo"/>
        <w:noProof/>
        <w:sz w:val="52"/>
      </w:rPr>
      <w:object w:dxaOrig="1440" w:dyaOrig="1440" w14:anchorId="1B532B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position:absolute;margin-left:-7.2pt;margin-top:-7.2pt;width:115.2pt;height:28.8pt;z-index:-251660289;visibility:visible;mso-wrap-edited:f;mso-position-horizontal-relative:text;mso-position-vertical-relative:text" o:allowincell="f">
          <v:imagedata r:id="rId1" o:title=""/>
        </v:shape>
        <o:OLEObject Type="Embed" ProgID="Word.Picture.8" ShapeID="_x0000_s2065" DrawAspect="Content" ObjectID="_1584366808" r:id="rId2"/>
      </w:object>
    </w:r>
  </w:p>
  <w:p w14:paraId="1B532B21" w14:textId="77777777" w:rsidR="003B7895" w:rsidRDefault="003B7895">
    <w:pPr>
      <w:pStyle w:val="Header"/>
      <w:tabs>
        <w:tab w:val="clear" w:pos="8640"/>
        <w:tab w:val="right" w:pos="9360"/>
        <w:tab w:val="right" w:pos="9630"/>
      </w:tabs>
      <w:rPr>
        <w:rFonts w:ascii="Univers Condensed" w:hAnsi="Univers Condensed"/>
        <w:b/>
      </w:rPr>
    </w:pPr>
    <w:r>
      <w:rPr>
        <w:rFonts w:ascii="Univers Condensed" w:hAnsi="Univers Condensed"/>
        <w:b/>
      </w:rPr>
      <w:t>ENVIRONMENTAL, HEALTH &amp; SAFETY MANAGEMENT SYSTEM STANDARD</w:t>
    </w:r>
  </w:p>
  <w:p w14:paraId="1B532B22" w14:textId="77777777" w:rsidR="003B7895" w:rsidRDefault="003B7895">
    <w:pPr>
      <w:pStyle w:val="Header"/>
      <w:tabs>
        <w:tab w:val="clear" w:pos="8640"/>
        <w:tab w:val="right" w:pos="9360"/>
        <w:tab w:val="right" w:pos="9630"/>
      </w:tabs>
      <w:rPr>
        <w:rFonts w:ascii="Univers Condensed" w:hAnsi="Univers Condensed"/>
        <w:b/>
        <w:sz w:val="36"/>
      </w:rPr>
    </w:pPr>
    <w:r>
      <w:rPr>
        <w:rFonts w:ascii="Univers Condensed" w:hAnsi="Univers Condensed"/>
        <w:b/>
        <w:sz w:val="36"/>
      </w:rPr>
      <w:t>CONTRACTOR EHS REQUIREMENTS</w:t>
    </w:r>
  </w:p>
  <w:p w14:paraId="1B532B23" w14:textId="77777777" w:rsidR="003B7895" w:rsidRDefault="00D3542A">
    <w:pPr>
      <w:pStyle w:val="Header"/>
      <w:tabs>
        <w:tab w:val="left" w:pos="9270"/>
      </w:tabs>
      <w:jc w:val="both"/>
      <w:rPr>
        <w:rFonts w:ascii="Univers Condensed" w:hAnsi="Univers Condensed"/>
        <w:sz w:val="22"/>
      </w:rPr>
    </w:pPr>
    <w:r>
      <w:rPr>
        <w:rFonts w:ascii="Univers Condensed" w:hAnsi="Univers Condensed"/>
        <w:b/>
        <w:noProof/>
        <w:sz w:val="22"/>
      </w:rPr>
      <w:pict w14:anchorId="1B532B29">
        <v:line id="_x0000_s2060" style="position:absolute;left:0;text-align:left;z-index:251657216" from="0,2.9pt" to="468pt,2.9pt" o:allowincell="f" strokeweight="2.25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37583"/>
    <w:multiLevelType w:val="multilevel"/>
    <w:tmpl w:val="C38C669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907"/>
        </w:tabs>
        <w:ind w:left="907" w:hanging="360"/>
      </w:pPr>
      <w:rPr>
        <w:rFonts w:hint="default"/>
      </w:rPr>
    </w:lvl>
    <w:lvl w:ilvl="2">
      <w:start w:val="1"/>
      <w:numFmt w:val="decimal"/>
      <w:lvlText w:val="%1.%2.%3"/>
      <w:lvlJc w:val="left"/>
      <w:pPr>
        <w:tabs>
          <w:tab w:val="num" w:pos="1814"/>
        </w:tabs>
        <w:ind w:left="1814" w:hanging="720"/>
      </w:pPr>
      <w:rPr>
        <w:rFonts w:hint="default"/>
      </w:rPr>
    </w:lvl>
    <w:lvl w:ilvl="3">
      <w:start w:val="1"/>
      <w:numFmt w:val="decimal"/>
      <w:lvlText w:val="%1.%2.%3.%4"/>
      <w:lvlJc w:val="left"/>
      <w:pPr>
        <w:tabs>
          <w:tab w:val="num" w:pos="2361"/>
        </w:tabs>
        <w:ind w:left="2361" w:hanging="720"/>
      </w:pPr>
      <w:rPr>
        <w:rFonts w:hint="default"/>
      </w:rPr>
    </w:lvl>
    <w:lvl w:ilvl="4">
      <w:start w:val="1"/>
      <w:numFmt w:val="decimal"/>
      <w:lvlText w:val="%1.%2.%3.%4.%5"/>
      <w:lvlJc w:val="left"/>
      <w:pPr>
        <w:tabs>
          <w:tab w:val="num" w:pos="3268"/>
        </w:tabs>
        <w:ind w:left="3268" w:hanging="1080"/>
      </w:pPr>
      <w:rPr>
        <w:rFonts w:hint="default"/>
      </w:rPr>
    </w:lvl>
    <w:lvl w:ilvl="5">
      <w:start w:val="1"/>
      <w:numFmt w:val="decimal"/>
      <w:lvlText w:val="%1.%2.%3.%4.%5.%6"/>
      <w:lvlJc w:val="left"/>
      <w:pPr>
        <w:tabs>
          <w:tab w:val="num" w:pos="3815"/>
        </w:tabs>
        <w:ind w:left="3815" w:hanging="1080"/>
      </w:pPr>
      <w:rPr>
        <w:rFonts w:hint="default"/>
      </w:rPr>
    </w:lvl>
    <w:lvl w:ilvl="6">
      <w:start w:val="1"/>
      <w:numFmt w:val="decimal"/>
      <w:lvlText w:val="%1.%2.%3.%4.%5.%6.%7"/>
      <w:lvlJc w:val="left"/>
      <w:pPr>
        <w:tabs>
          <w:tab w:val="num" w:pos="4722"/>
        </w:tabs>
        <w:ind w:left="4722" w:hanging="1440"/>
      </w:pPr>
      <w:rPr>
        <w:rFonts w:hint="default"/>
      </w:rPr>
    </w:lvl>
    <w:lvl w:ilvl="7">
      <w:start w:val="1"/>
      <w:numFmt w:val="decimal"/>
      <w:lvlText w:val="%1.%2.%3.%4.%5.%6.%7.%8"/>
      <w:lvlJc w:val="left"/>
      <w:pPr>
        <w:tabs>
          <w:tab w:val="num" w:pos="5269"/>
        </w:tabs>
        <w:ind w:left="5269" w:hanging="1440"/>
      </w:pPr>
      <w:rPr>
        <w:rFonts w:hint="default"/>
      </w:rPr>
    </w:lvl>
    <w:lvl w:ilvl="8">
      <w:start w:val="1"/>
      <w:numFmt w:val="decimal"/>
      <w:lvlText w:val="%1.%2.%3.%4.%5.%6.%7.%8.%9"/>
      <w:lvlJc w:val="left"/>
      <w:pPr>
        <w:tabs>
          <w:tab w:val="num" w:pos="6176"/>
        </w:tabs>
        <w:ind w:left="6176" w:hanging="1800"/>
      </w:pPr>
      <w:rPr>
        <w:rFonts w:hint="default"/>
      </w:rPr>
    </w:lvl>
  </w:abstractNum>
  <w:abstractNum w:abstractNumId="1" w15:restartNumberingAfterBreak="0">
    <w:nsid w:val="06C3157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A34299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D5A77E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34B5D0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62821B9"/>
    <w:multiLevelType w:val="hybridMultilevel"/>
    <w:tmpl w:val="FDE85FE6"/>
    <w:lvl w:ilvl="0" w:tplc="5686A378">
      <w:start w:val="1"/>
      <w:numFmt w:val="decimal"/>
      <w:lvlText w:val="%1."/>
      <w:lvlJc w:val="left"/>
      <w:pPr>
        <w:tabs>
          <w:tab w:val="num" w:pos="1080"/>
        </w:tabs>
        <w:ind w:left="1080" w:hanging="360"/>
      </w:pPr>
    </w:lvl>
    <w:lvl w:ilvl="1" w:tplc="BE16ED1E" w:tentative="1">
      <w:start w:val="1"/>
      <w:numFmt w:val="decimal"/>
      <w:lvlText w:val="%2."/>
      <w:lvlJc w:val="left"/>
      <w:pPr>
        <w:tabs>
          <w:tab w:val="num" w:pos="1800"/>
        </w:tabs>
        <w:ind w:left="1800" w:hanging="360"/>
      </w:pPr>
    </w:lvl>
    <w:lvl w:ilvl="2" w:tplc="17C2C8A4" w:tentative="1">
      <w:start w:val="1"/>
      <w:numFmt w:val="decimal"/>
      <w:lvlText w:val="%3."/>
      <w:lvlJc w:val="left"/>
      <w:pPr>
        <w:tabs>
          <w:tab w:val="num" w:pos="2520"/>
        </w:tabs>
        <w:ind w:left="2520" w:hanging="360"/>
      </w:pPr>
    </w:lvl>
    <w:lvl w:ilvl="3" w:tplc="CA7A52FE" w:tentative="1">
      <w:start w:val="1"/>
      <w:numFmt w:val="decimal"/>
      <w:lvlText w:val="%4."/>
      <w:lvlJc w:val="left"/>
      <w:pPr>
        <w:tabs>
          <w:tab w:val="num" w:pos="3240"/>
        </w:tabs>
        <w:ind w:left="3240" w:hanging="360"/>
      </w:pPr>
    </w:lvl>
    <w:lvl w:ilvl="4" w:tplc="5CEAF9A8" w:tentative="1">
      <w:start w:val="1"/>
      <w:numFmt w:val="decimal"/>
      <w:lvlText w:val="%5."/>
      <w:lvlJc w:val="left"/>
      <w:pPr>
        <w:tabs>
          <w:tab w:val="num" w:pos="3960"/>
        </w:tabs>
        <w:ind w:left="3960" w:hanging="360"/>
      </w:pPr>
    </w:lvl>
    <w:lvl w:ilvl="5" w:tplc="641C1A58" w:tentative="1">
      <w:start w:val="1"/>
      <w:numFmt w:val="decimal"/>
      <w:lvlText w:val="%6."/>
      <w:lvlJc w:val="left"/>
      <w:pPr>
        <w:tabs>
          <w:tab w:val="num" w:pos="4680"/>
        </w:tabs>
        <w:ind w:left="4680" w:hanging="360"/>
      </w:pPr>
    </w:lvl>
    <w:lvl w:ilvl="6" w:tplc="220A2216" w:tentative="1">
      <w:start w:val="1"/>
      <w:numFmt w:val="decimal"/>
      <w:lvlText w:val="%7."/>
      <w:lvlJc w:val="left"/>
      <w:pPr>
        <w:tabs>
          <w:tab w:val="num" w:pos="5400"/>
        </w:tabs>
        <w:ind w:left="5400" w:hanging="360"/>
      </w:pPr>
    </w:lvl>
    <w:lvl w:ilvl="7" w:tplc="30942834" w:tentative="1">
      <w:start w:val="1"/>
      <w:numFmt w:val="decimal"/>
      <w:lvlText w:val="%8."/>
      <w:lvlJc w:val="left"/>
      <w:pPr>
        <w:tabs>
          <w:tab w:val="num" w:pos="6120"/>
        </w:tabs>
        <w:ind w:left="6120" w:hanging="360"/>
      </w:pPr>
    </w:lvl>
    <w:lvl w:ilvl="8" w:tplc="9698B00C" w:tentative="1">
      <w:start w:val="1"/>
      <w:numFmt w:val="decimal"/>
      <w:lvlText w:val="%9."/>
      <w:lvlJc w:val="left"/>
      <w:pPr>
        <w:tabs>
          <w:tab w:val="num" w:pos="6840"/>
        </w:tabs>
        <w:ind w:left="6840" w:hanging="360"/>
      </w:pPr>
    </w:lvl>
  </w:abstractNum>
  <w:abstractNum w:abstractNumId="6" w15:restartNumberingAfterBreak="0">
    <w:nsid w:val="17D5774A"/>
    <w:multiLevelType w:val="hybridMultilevel"/>
    <w:tmpl w:val="59AA5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2B15EF"/>
    <w:multiLevelType w:val="hybridMultilevel"/>
    <w:tmpl w:val="4ACE239A"/>
    <w:lvl w:ilvl="0" w:tplc="E7E62752">
      <w:start w:val="1"/>
      <w:numFmt w:val="lowerLetter"/>
      <w:lvlText w:val="%1)"/>
      <w:lvlJc w:val="left"/>
      <w:pPr>
        <w:tabs>
          <w:tab w:val="num" w:pos="4320"/>
        </w:tabs>
        <w:ind w:left="4320" w:hanging="360"/>
      </w:pPr>
      <w:rPr>
        <w:rFonts w:hint="default"/>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4591F0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DE27FE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0666F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BD34D13"/>
    <w:multiLevelType w:val="multilevel"/>
    <w:tmpl w:val="46E2A256"/>
    <w:lvl w:ilvl="0">
      <w:start w:val="1"/>
      <w:numFmt w:val="decimal"/>
      <w:lvlText w:val="%1.0"/>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2" w15:restartNumberingAfterBreak="0">
    <w:nsid w:val="43C22340"/>
    <w:multiLevelType w:val="singleLevel"/>
    <w:tmpl w:val="A6DCC83E"/>
    <w:lvl w:ilvl="0">
      <w:start w:val="1"/>
      <w:numFmt w:val="bullet"/>
      <w:pStyle w:val="bulletedtext"/>
      <w:lvlText w:val=""/>
      <w:lvlJc w:val="left"/>
      <w:pPr>
        <w:tabs>
          <w:tab w:val="num" w:pos="360"/>
        </w:tabs>
        <w:ind w:left="360" w:hanging="360"/>
      </w:pPr>
      <w:rPr>
        <w:rFonts w:ascii="Wingdings" w:hAnsi="Wingdings" w:hint="default"/>
      </w:rPr>
    </w:lvl>
  </w:abstractNum>
  <w:abstractNum w:abstractNumId="13" w15:restartNumberingAfterBreak="0">
    <w:nsid w:val="45482F0B"/>
    <w:multiLevelType w:val="multilevel"/>
    <w:tmpl w:val="7376CEBC"/>
    <w:lvl w:ilvl="0">
      <w:start w:val="1"/>
      <w:numFmt w:val="decimal"/>
      <w:pStyle w:val="heading2"/>
      <w:lvlText w:val="%1.0"/>
      <w:lvlJc w:val="left"/>
      <w:pPr>
        <w:tabs>
          <w:tab w:val="num" w:pos="720"/>
        </w:tabs>
        <w:ind w:left="720" w:hanging="720"/>
      </w:pPr>
      <w:rPr>
        <w:rFonts w:hint="default"/>
      </w:rPr>
    </w:lvl>
    <w:lvl w:ilvl="1">
      <w:start w:val="1"/>
      <w:numFmt w:val="decimal"/>
      <w:pStyle w:val="subheading1"/>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4" w15:restartNumberingAfterBreak="0">
    <w:nsid w:val="464E705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465A1FB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4D5614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53B80107"/>
    <w:multiLevelType w:val="hybridMultilevel"/>
    <w:tmpl w:val="98FEF13E"/>
    <w:lvl w:ilvl="0" w:tplc="EF146A54">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5B2D082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64887DA1"/>
    <w:multiLevelType w:val="multilevel"/>
    <w:tmpl w:val="1C2C3074"/>
    <w:lvl w:ilvl="0">
      <w:start w:val="1"/>
      <w:numFmt w:val="decimal"/>
      <w:lvlText w:val="%1.0"/>
      <w:lvlJc w:val="left"/>
      <w:pPr>
        <w:tabs>
          <w:tab w:val="num" w:pos="720"/>
        </w:tabs>
        <w:ind w:left="720" w:hanging="720"/>
      </w:pPr>
      <w:rPr>
        <w:rFonts w:ascii="Univers Condensed" w:hAnsi="Univers Condensed" w:hint="default"/>
        <w:sz w:val="28"/>
      </w:rPr>
    </w:lvl>
    <w:lvl w:ilvl="1">
      <w:start w:val="1"/>
      <w:numFmt w:val="decimal"/>
      <w:lvlText w:val="%1.%2"/>
      <w:lvlJc w:val="left"/>
      <w:pPr>
        <w:tabs>
          <w:tab w:val="num" w:pos="1440"/>
        </w:tabs>
        <w:ind w:left="1440" w:hanging="720"/>
      </w:pPr>
      <w:rPr>
        <w:rFonts w:ascii="Univers Condensed" w:hAnsi="Univers Condensed" w:hint="default"/>
        <w:b/>
        <w:i w:val="0"/>
        <w:sz w:val="24"/>
      </w:rPr>
    </w:lvl>
    <w:lvl w:ilvl="2">
      <w:start w:val="1"/>
      <w:numFmt w:val="decimal"/>
      <w:lvlText w:val="%1.%2.%3"/>
      <w:lvlJc w:val="left"/>
      <w:pPr>
        <w:tabs>
          <w:tab w:val="num" w:pos="2160"/>
        </w:tabs>
        <w:ind w:left="2160" w:hanging="720"/>
      </w:pPr>
      <w:rPr>
        <w:rFonts w:ascii="Univers Condensed" w:hAnsi="Univers Condensed" w:hint="default"/>
        <w:sz w:val="28"/>
      </w:rPr>
    </w:lvl>
    <w:lvl w:ilvl="3">
      <w:start w:val="1"/>
      <w:numFmt w:val="decimal"/>
      <w:lvlText w:val="%1.%2.%3.%4"/>
      <w:lvlJc w:val="left"/>
      <w:pPr>
        <w:tabs>
          <w:tab w:val="num" w:pos="2880"/>
        </w:tabs>
        <w:ind w:left="2880" w:hanging="720"/>
      </w:pPr>
      <w:rPr>
        <w:rFonts w:ascii="Univers Condensed" w:hAnsi="Univers Condensed" w:hint="default"/>
        <w:sz w:val="28"/>
      </w:rPr>
    </w:lvl>
    <w:lvl w:ilvl="4">
      <w:start w:val="1"/>
      <w:numFmt w:val="decimal"/>
      <w:lvlText w:val="%1.%2.%3.%4.%5"/>
      <w:lvlJc w:val="left"/>
      <w:pPr>
        <w:tabs>
          <w:tab w:val="num" w:pos="3960"/>
        </w:tabs>
        <w:ind w:left="3960" w:hanging="1080"/>
      </w:pPr>
      <w:rPr>
        <w:rFonts w:ascii="Univers Condensed" w:hAnsi="Univers Condensed" w:hint="default"/>
        <w:sz w:val="28"/>
      </w:rPr>
    </w:lvl>
    <w:lvl w:ilvl="5">
      <w:start w:val="1"/>
      <w:numFmt w:val="decimal"/>
      <w:lvlText w:val="%1.%2.%3.%4.%5.%6"/>
      <w:lvlJc w:val="left"/>
      <w:pPr>
        <w:tabs>
          <w:tab w:val="num" w:pos="4680"/>
        </w:tabs>
        <w:ind w:left="4680" w:hanging="1080"/>
      </w:pPr>
      <w:rPr>
        <w:rFonts w:ascii="Univers Condensed" w:hAnsi="Univers Condensed" w:hint="default"/>
        <w:sz w:val="28"/>
      </w:rPr>
    </w:lvl>
    <w:lvl w:ilvl="6">
      <w:start w:val="1"/>
      <w:numFmt w:val="decimal"/>
      <w:lvlText w:val="%1.%2.%3.%4.%5.%6.%7"/>
      <w:lvlJc w:val="left"/>
      <w:pPr>
        <w:tabs>
          <w:tab w:val="num" w:pos="5760"/>
        </w:tabs>
        <w:ind w:left="5760" w:hanging="1440"/>
      </w:pPr>
      <w:rPr>
        <w:rFonts w:ascii="Univers Condensed" w:hAnsi="Univers Condensed" w:hint="default"/>
        <w:sz w:val="28"/>
      </w:rPr>
    </w:lvl>
    <w:lvl w:ilvl="7">
      <w:start w:val="1"/>
      <w:numFmt w:val="decimal"/>
      <w:lvlText w:val="%1.%2.%3.%4.%5.%6.%7.%8"/>
      <w:lvlJc w:val="left"/>
      <w:pPr>
        <w:tabs>
          <w:tab w:val="num" w:pos="6480"/>
        </w:tabs>
        <w:ind w:left="6480" w:hanging="1440"/>
      </w:pPr>
      <w:rPr>
        <w:rFonts w:ascii="Univers Condensed" w:hAnsi="Univers Condensed" w:hint="default"/>
        <w:sz w:val="28"/>
      </w:rPr>
    </w:lvl>
    <w:lvl w:ilvl="8">
      <w:start w:val="1"/>
      <w:numFmt w:val="decimal"/>
      <w:lvlText w:val="%1.%2.%3.%4.%5.%6.%7.%8.%9"/>
      <w:lvlJc w:val="left"/>
      <w:pPr>
        <w:tabs>
          <w:tab w:val="num" w:pos="7560"/>
        </w:tabs>
        <w:ind w:left="7560" w:hanging="1800"/>
      </w:pPr>
      <w:rPr>
        <w:rFonts w:ascii="Univers Condensed" w:hAnsi="Univers Condensed" w:hint="default"/>
        <w:sz w:val="28"/>
      </w:rPr>
    </w:lvl>
  </w:abstractNum>
  <w:abstractNum w:abstractNumId="20" w15:restartNumberingAfterBreak="0">
    <w:nsid w:val="6DA10A3C"/>
    <w:multiLevelType w:val="multilevel"/>
    <w:tmpl w:val="AB627FAA"/>
    <w:lvl w:ilvl="0">
      <w:numFmt w:val="decimal"/>
      <w:pStyle w:val="heading1"/>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600"/>
        </w:tabs>
        <w:ind w:left="3600" w:hanging="72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21" w15:restartNumberingAfterBreak="0">
    <w:nsid w:val="70B35260"/>
    <w:multiLevelType w:val="hybridMultilevel"/>
    <w:tmpl w:val="E51E3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0EF45C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714B2422"/>
    <w:multiLevelType w:val="hybridMultilevel"/>
    <w:tmpl w:val="FFA27C66"/>
    <w:lvl w:ilvl="0" w:tplc="88F24F6A">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7D347F49"/>
    <w:multiLevelType w:val="hybridMultilevel"/>
    <w:tmpl w:val="E9029EA2"/>
    <w:lvl w:ilvl="0" w:tplc="04090017">
      <w:start w:val="1"/>
      <w:numFmt w:val="lowerLetter"/>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abstractNumId w:val="13"/>
  </w:num>
  <w:num w:numId="2">
    <w:abstractNumId w:val="20"/>
  </w:num>
  <w:num w:numId="3">
    <w:abstractNumId w:val="12"/>
  </w:num>
  <w:num w:numId="4">
    <w:abstractNumId w:val="13"/>
  </w:num>
  <w:num w:numId="5">
    <w:abstractNumId w:val="13"/>
  </w:num>
  <w:num w:numId="6">
    <w:abstractNumId w:val="14"/>
  </w:num>
  <w:num w:numId="7">
    <w:abstractNumId w:val="15"/>
  </w:num>
  <w:num w:numId="8">
    <w:abstractNumId w:val="22"/>
  </w:num>
  <w:num w:numId="9">
    <w:abstractNumId w:val="1"/>
  </w:num>
  <w:num w:numId="10">
    <w:abstractNumId w:val="4"/>
  </w:num>
  <w:num w:numId="11">
    <w:abstractNumId w:val="16"/>
  </w:num>
  <w:num w:numId="12">
    <w:abstractNumId w:val="3"/>
  </w:num>
  <w:num w:numId="13">
    <w:abstractNumId w:val="8"/>
  </w:num>
  <w:num w:numId="14">
    <w:abstractNumId w:val="2"/>
  </w:num>
  <w:num w:numId="15">
    <w:abstractNumId w:val="13"/>
  </w:num>
  <w:num w:numId="16">
    <w:abstractNumId w:val="18"/>
  </w:num>
  <w:num w:numId="17">
    <w:abstractNumId w:val="11"/>
  </w:num>
  <w:num w:numId="18">
    <w:abstractNumId w:val="10"/>
  </w:num>
  <w:num w:numId="19">
    <w:abstractNumId w:val="13"/>
  </w:num>
  <w:num w:numId="20">
    <w:abstractNumId w:val="20"/>
  </w:num>
  <w:num w:numId="21">
    <w:abstractNumId w:val="9"/>
  </w:num>
  <w:num w:numId="22">
    <w:abstractNumId w:val="23"/>
  </w:num>
  <w:num w:numId="23">
    <w:abstractNumId w:val="17"/>
  </w:num>
  <w:num w:numId="24">
    <w:abstractNumId w:val="7"/>
  </w:num>
  <w:num w:numId="25">
    <w:abstractNumId w:val="21"/>
  </w:num>
  <w:num w:numId="26">
    <w:abstractNumId w:val="0"/>
  </w:num>
  <w:num w:numId="27">
    <w:abstractNumId w:val="24"/>
  </w:num>
  <w:num w:numId="28">
    <w:abstractNumId w:val="6"/>
  </w:num>
  <w:num w:numId="29">
    <w:abstractNumId w:val="13"/>
  </w:num>
  <w:num w:numId="30">
    <w:abstractNumId w:val="13"/>
  </w:num>
  <w:num w:numId="31">
    <w:abstractNumId w:val="19"/>
  </w:num>
  <w:num w:numId="32">
    <w:abstractNumId w:val="20"/>
  </w:num>
  <w:num w:numId="33">
    <w:abstractNumId w:val="20"/>
  </w:num>
  <w:num w:numId="34">
    <w:abstractNumId w:val="20"/>
  </w:num>
  <w:num w:numId="35">
    <w:abstractNumId w:val="20"/>
  </w:num>
  <w:num w:numId="36">
    <w:abstractNumId w:val="20"/>
  </w:num>
  <w:num w:numId="37">
    <w:abstractNumId w:val="20"/>
  </w:num>
  <w:num w:numId="38">
    <w:abstractNumId w:val="20"/>
  </w:num>
  <w:num w:numId="39">
    <w:abstractNumId w:val="20"/>
  </w:num>
  <w:num w:numId="40">
    <w:abstractNumId w:val="20"/>
  </w:num>
  <w:num w:numId="41">
    <w:abstractNumId w:val="20"/>
  </w:num>
  <w:num w:numId="42">
    <w:abstractNumId w:val="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doNotShadeFormData/>
  <w:noPunctuationKerning/>
  <w:characterSpacingControl w:val="doNotCompress"/>
  <w:hdrShapeDefaults>
    <o:shapedefaults v:ext="edit" spidmax="2066"/>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A40E87"/>
    <w:rsid w:val="00026F7B"/>
    <w:rsid w:val="000403FF"/>
    <w:rsid w:val="0007469A"/>
    <w:rsid w:val="00082741"/>
    <w:rsid w:val="000837F7"/>
    <w:rsid w:val="000861E0"/>
    <w:rsid w:val="000B59D6"/>
    <w:rsid w:val="000D4566"/>
    <w:rsid w:val="000E03F6"/>
    <w:rsid w:val="00131025"/>
    <w:rsid w:val="001415AF"/>
    <w:rsid w:val="001726EC"/>
    <w:rsid w:val="00177E86"/>
    <w:rsid w:val="00193F7B"/>
    <w:rsid w:val="00196D48"/>
    <w:rsid w:val="001C733E"/>
    <w:rsid w:val="001D39AE"/>
    <w:rsid w:val="001D53B2"/>
    <w:rsid w:val="001E340C"/>
    <w:rsid w:val="001E7B53"/>
    <w:rsid w:val="001F3B79"/>
    <w:rsid w:val="002316B4"/>
    <w:rsid w:val="00232EEA"/>
    <w:rsid w:val="0025613F"/>
    <w:rsid w:val="00261A38"/>
    <w:rsid w:val="0027698C"/>
    <w:rsid w:val="00293E84"/>
    <w:rsid w:val="002B205A"/>
    <w:rsid w:val="002B3EAB"/>
    <w:rsid w:val="002D015E"/>
    <w:rsid w:val="00345982"/>
    <w:rsid w:val="00386A6A"/>
    <w:rsid w:val="003A1B88"/>
    <w:rsid w:val="003B7895"/>
    <w:rsid w:val="003D3AC0"/>
    <w:rsid w:val="003E07F4"/>
    <w:rsid w:val="00404536"/>
    <w:rsid w:val="00404E95"/>
    <w:rsid w:val="004120E7"/>
    <w:rsid w:val="004579AB"/>
    <w:rsid w:val="00480931"/>
    <w:rsid w:val="004E053B"/>
    <w:rsid w:val="004F3BFD"/>
    <w:rsid w:val="00517EDF"/>
    <w:rsid w:val="005211A7"/>
    <w:rsid w:val="00523C0B"/>
    <w:rsid w:val="00540946"/>
    <w:rsid w:val="005777D6"/>
    <w:rsid w:val="005933BC"/>
    <w:rsid w:val="005A100E"/>
    <w:rsid w:val="005C16F2"/>
    <w:rsid w:val="00605261"/>
    <w:rsid w:val="00625555"/>
    <w:rsid w:val="00677937"/>
    <w:rsid w:val="00693C9B"/>
    <w:rsid w:val="006B5B85"/>
    <w:rsid w:val="006D7D67"/>
    <w:rsid w:val="006E2535"/>
    <w:rsid w:val="006F7F52"/>
    <w:rsid w:val="00713380"/>
    <w:rsid w:val="00720F4B"/>
    <w:rsid w:val="007242C1"/>
    <w:rsid w:val="00725A24"/>
    <w:rsid w:val="00743A1C"/>
    <w:rsid w:val="007522E3"/>
    <w:rsid w:val="00767050"/>
    <w:rsid w:val="007A0ED7"/>
    <w:rsid w:val="007A75C1"/>
    <w:rsid w:val="007B5E92"/>
    <w:rsid w:val="007D2874"/>
    <w:rsid w:val="007E4B6B"/>
    <w:rsid w:val="007E6458"/>
    <w:rsid w:val="007F27FB"/>
    <w:rsid w:val="007F2CF8"/>
    <w:rsid w:val="007F3671"/>
    <w:rsid w:val="008534DA"/>
    <w:rsid w:val="008715D3"/>
    <w:rsid w:val="00877EA8"/>
    <w:rsid w:val="008E6C7D"/>
    <w:rsid w:val="008E7596"/>
    <w:rsid w:val="008F6A61"/>
    <w:rsid w:val="00932209"/>
    <w:rsid w:val="009379AD"/>
    <w:rsid w:val="009412C3"/>
    <w:rsid w:val="00947190"/>
    <w:rsid w:val="009626ED"/>
    <w:rsid w:val="00975A0D"/>
    <w:rsid w:val="00993EC5"/>
    <w:rsid w:val="009A12A4"/>
    <w:rsid w:val="009A256F"/>
    <w:rsid w:val="009A3BCE"/>
    <w:rsid w:val="00A1329F"/>
    <w:rsid w:val="00A20174"/>
    <w:rsid w:val="00A21FC6"/>
    <w:rsid w:val="00A40E87"/>
    <w:rsid w:val="00A440D6"/>
    <w:rsid w:val="00A662E7"/>
    <w:rsid w:val="00A725F8"/>
    <w:rsid w:val="00A760FC"/>
    <w:rsid w:val="00AC40E6"/>
    <w:rsid w:val="00AC4234"/>
    <w:rsid w:val="00AD72B8"/>
    <w:rsid w:val="00B03536"/>
    <w:rsid w:val="00B058E3"/>
    <w:rsid w:val="00B15E87"/>
    <w:rsid w:val="00B56C82"/>
    <w:rsid w:val="00B9134A"/>
    <w:rsid w:val="00BA1DD1"/>
    <w:rsid w:val="00C27808"/>
    <w:rsid w:val="00C31A33"/>
    <w:rsid w:val="00C330BD"/>
    <w:rsid w:val="00C4282F"/>
    <w:rsid w:val="00C4378F"/>
    <w:rsid w:val="00C47FF9"/>
    <w:rsid w:val="00C74ABB"/>
    <w:rsid w:val="00C75852"/>
    <w:rsid w:val="00CD39E3"/>
    <w:rsid w:val="00CF5CFE"/>
    <w:rsid w:val="00D00F0D"/>
    <w:rsid w:val="00D20778"/>
    <w:rsid w:val="00D23FBF"/>
    <w:rsid w:val="00D324D0"/>
    <w:rsid w:val="00D3542A"/>
    <w:rsid w:val="00D4407D"/>
    <w:rsid w:val="00D45B8C"/>
    <w:rsid w:val="00D6315B"/>
    <w:rsid w:val="00D727A7"/>
    <w:rsid w:val="00D8707F"/>
    <w:rsid w:val="00DC5BAB"/>
    <w:rsid w:val="00DD0FEA"/>
    <w:rsid w:val="00E155C8"/>
    <w:rsid w:val="00E30C45"/>
    <w:rsid w:val="00E31E92"/>
    <w:rsid w:val="00E37097"/>
    <w:rsid w:val="00E4199A"/>
    <w:rsid w:val="00E538F8"/>
    <w:rsid w:val="00E60D0D"/>
    <w:rsid w:val="00E73292"/>
    <w:rsid w:val="00E96399"/>
    <w:rsid w:val="00EB3325"/>
    <w:rsid w:val="00EC6EE6"/>
    <w:rsid w:val="00ED0578"/>
    <w:rsid w:val="00F216F3"/>
    <w:rsid w:val="00F26EE4"/>
    <w:rsid w:val="00F320DE"/>
    <w:rsid w:val="00F34DBB"/>
    <w:rsid w:val="00F41DC3"/>
    <w:rsid w:val="00F60A31"/>
    <w:rsid w:val="00F75613"/>
    <w:rsid w:val="00F80C41"/>
    <w:rsid w:val="00FB22C9"/>
    <w:rsid w:val="00FB29D7"/>
    <w:rsid w:val="00FC3C3B"/>
    <w:rsid w:val="00FD2458"/>
    <w:rsid w:val="00FF3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66"/>
    <o:shapelayout v:ext="edit">
      <o:idmap v:ext="edit" data="1"/>
    </o:shapelayout>
  </w:shapeDefaults>
  <w:decimalSymbol w:val="."/>
  <w:listSeparator w:val=","/>
  <w14:docId w14:val="1B532911"/>
  <w15:docId w15:val="{A6D14868-6F95-45B3-82E1-5B850B6E9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93C9B"/>
  </w:style>
  <w:style w:type="paragraph" w:styleId="Heading10">
    <w:name w:val="heading 1"/>
    <w:basedOn w:val="Normal"/>
    <w:next w:val="Normal"/>
    <w:qFormat/>
    <w:rsid w:val="00693C9B"/>
    <w:pPr>
      <w:keepNext/>
      <w:outlineLvl w:val="0"/>
    </w:pPr>
    <w:rPr>
      <w:noProof/>
      <w:sz w:val="24"/>
    </w:rPr>
  </w:style>
  <w:style w:type="paragraph" w:styleId="Heading20">
    <w:name w:val="heading 2"/>
    <w:basedOn w:val="Normal"/>
    <w:next w:val="Normal"/>
    <w:qFormat/>
    <w:rsid w:val="00693C9B"/>
    <w:pPr>
      <w:keepNext/>
      <w:keepLines/>
      <w:widowControl w:val="0"/>
      <w:tabs>
        <w:tab w:val="left" w:pos="1440"/>
      </w:tabs>
      <w:jc w:val="both"/>
      <w:outlineLvl w:val="1"/>
    </w:pPr>
    <w:rPr>
      <w:b/>
      <w:snapToGrid w:val="0"/>
      <w:color w:val="000000"/>
      <w:sz w:val="24"/>
    </w:rPr>
  </w:style>
  <w:style w:type="paragraph" w:styleId="Heading3">
    <w:name w:val="heading 3"/>
    <w:basedOn w:val="Normal"/>
    <w:next w:val="Normal"/>
    <w:qFormat/>
    <w:rsid w:val="00693C9B"/>
    <w:pPr>
      <w:keepNext/>
      <w:jc w:val="center"/>
      <w:outlineLvl w:val="2"/>
    </w:pPr>
    <w:rPr>
      <w:b/>
      <w:sz w:val="28"/>
    </w:rPr>
  </w:style>
  <w:style w:type="paragraph" w:styleId="Heading4">
    <w:name w:val="heading 4"/>
    <w:basedOn w:val="Normal"/>
    <w:next w:val="Normal"/>
    <w:qFormat/>
    <w:rsid w:val="00693C9B"/>
    <w:pPr>
      <w:keepNext/>
      <w:outlineLvl w:val="3"/>
    </w:pPr>
  </w:style>
  <w:style w:type="paragraph" w:styleId="Heading5">
    <w:name w:val="heading 5"/>
    <w:basedOn w:val="Normal"/>
    <w:next w:val="Normal"/>
    <w:qFormat/>
    <w:rsid w:val="00693C9B"/>
    <w:pPr>
      <w:keepNext/>
      <w:tabs>
        <w:tab w:val="left" w:pos="1080"/>
      </w:tabs>
      <w:ind w:left="720"/>
      <w:outlineLvl w:val="4"/>
    </w:pPr>
    <w:rPr>
      <w:sz w:val="22"/>
    </w:rPr>
  </w:style>
  <w:style w:type="paragraph" w:styleId="Heading6">
    <w:name w:val="heading 6"/>
    <w:basedOn w:val="Normal"/>
    <w:next w:val="Normal"/>
    <w:qFormat/>
    <w:rsid w:val="00693C9B"/>
    <w:pPr>
      <w:keepNext/>
      <w:outlineLvl w:val="5"/>
    </w:pPr>
    <w:rPr>
      <w:b/>
      <w:sz w:val="22"/>
    </w:rPr>
  </w:style>
  <w:style w:type="paragraph" w:styleId="Heading7">
    <w:name w:val="heading 7"/>
    <w:basedOn w:val="Normal"/>
    <w:next w:val="Normal"/>
    <w:qFormat/>
    <w:rsid w:val="00693C9B"/>
    <w:pPr>
      <w:keepNext/>
      <w:outlineLvl w:val="6"/>
    </w:pPr>
    <w:rPr>
      <w:rFonts w:ascii="Univers Condensed" w:hAnsi="Univers Condensed"/>
      <w:b/>
      <w:sz w:val="28"/>
    </w:rPr>
  </w:style>
  <w:style w:type="paragraph" w:styleId="Heading8">
    <w:name w:val="heading 8"/>
    <w:basedOn w:val="Normal"/>
    <w:next w:val="Normal"/>
    <w:qFormat/>
    <w:rsid w:val="00693C9B"/>
    <w:pPr>
      <w:keepNext/>
      <w:ind w:left="720" w:firstLine="720"/>
      <w:outlineLvl w:val="7"/>
    </w:pPr>
    <w:rPr>
      <w:rFonts w:ascii="Univers Condensed" w:hAnsi="Univers Condensed"/>
      <w:b/>
      <w:snapToGrid w:val="0"/>
      <w:color w:val="000000"/>
      <w:sz w:val="24"/>
    </w:rPr>
  </w:style>
  <w:style w:type="paragraph" w:styleId="Heading9">
    <w:name w:val="heading 9"/>
    <w:basedOn w:val="Normal"/>
    <w:next w:val="Normal"/>
    <w:qFormat/>
    <w:rsid w:val="00693C9B"/>
    <w:pPr>
      <w:keepNext/>
      <w:jc w:val="center"/>
      <w:outlineLvl w:val="8"/>
    </w:pPr>
    <w:rPr>
      <w:rFonts w:ascii="Univers Condensed" w:hAnsi="Univers Condensed"/>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693C9B"/>
    <w:pPr>
      <w:jc w:val="center"/>
    </w:pPr>
    <w:rPr>
      <w:b/>
      <w:sz w:val="28"/>
    </w:rPr>
  </w:style>
  <w:style w:type="paragraph" w:styleId="Subtitle">
    <w:name w:val="Subtitle"/>
    <w:basedOn w:val="Normal"/>
    <w:qFormat/>
    <w:rsid w:val="00693C9B"/>
    <w:rPr>
      <w:b/>
      <w:sz w:val="28"/>
    </w:rPr>
  </w:style>
  <w:style w:type="paragraph" w:styleId="Header">
    <w:name w:val="header"/>
    <w:basedOn w:val="Normal"/>
    <w:rsid w:val="00693C9B"/>
    <w:pPr>
      <w:tabs>
        <w:tab w:val="center" w:pos="4320"/>
        <w:tab w:val="right" w:pos="8640"/>
      </w:tabs>
    </w:pPr>
  </w:style>
  <w:style w:type="paragraph" w:styleId="Footer">
    <w:name w:val="footer"/>
    <w:basedOn w:val="Normal"/>
    <w:rsid w:val="00693C9B"/>
    <w:pPr>
      <w:tabs>
        <w:tab w:val="center" w:pos="4320"/>
        <w:tab w:val="right" w:pos="8640"/>
      </w:tabs>
    </w:pPr>
  </w:style>
  <w:style w:type="character" w:styleId="Hyperlink">
    <w:name w:val="Hyperlink"/>
    <w:basedOn w:val="DefaultParagraphFont"/>
    <w:rsid w:val="00693C9B"/>
    <w:rPr>
      <w:color w:val="0000FF"/>
      <w:u w:val="single"/>
    </w:rPr>
  </w:style>
  <w:style w:type="character" w:styleId="FollowedHyperlink">
    <w:name w:val="FollowedHyperlink"/>
    <w:basedOn w:val="DefaultParagraphFont"/>
    <w:rsid w:val="00693C9B"/>
    <w:rPr>
      <w:color w:val="800080"/>
      <w:u w:val="single"/>
    </w:rPr>
  </w:style>
  <w:style w:type="paragraph" w:styleId="BodyText">
    <w:name w:val="Body Text"/>
    <w:basedOn w:val="Normal"/>
    <w:rsid w:val="00693C9B"/>
    <w:rPr>
      <w:sz w:val="24"/>
    </w:rPr>
  </w:style>
  <w:style w:type="character" w:styleId="PageNumber">
    <w:name w:val="page number"/>
    <w:basedOn w:val="DefaultParagraphFont"/>
    <w:rsid w:val="00693C9B"/>
  </w:style>
  <w:style w:type="paragraph" w:styleId="BodyText3">
    <w:name w:val="Body Text 3"/>
    <w:basedOn w:val="Normal"/>
    <w:rsid w:val="00693C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jc w:val="both"/>
    </w:pPr>
    <w:rPr>
      <w:snapToGrid w:val="0"/>
      <w:color w:val="000000"/>
      <w:sz w:val="24"/>
    </w:rPr>
  </w:style>
  <w:style w:type="paragraph" w:styleId="BodyText2">
    <w:name w:val="Body Text 2"/>
    <w:basedOn w:val="Normal"/>
    <w:rsid w:val="00693C9B"/>
    <w:rPr>
      <w:b/>
      <w:i/>
      <w:sz w:val="22"/>
    </w:rPr>
  </w:style>
  <w:style w:type="paragraph" w:customStyle="1" w:styleId="heading1">
    <w:name w:val="heading1"/>
    <w:basedOn w:val="Header"/>
    <w:rsid w:val="00693C9B"/>
    <w:pPr>
      <w:numPr>
        <w:numId w:val="20"/>
      </w:numPr>
      <w:tabs>
        <w:tab w:val="clear" w:pos="4320"/>
        <w:tab w:val="clear" w:pos="8640"/>
      </w:tabs>
    </w:pPr>
    <w:rPr>
      <w:rFonts w:ascii="Univers Condensed" w:hAnsi="Univers Condensed"/>
      <w:b/>
      <w:sz w:val="22"/>
    </w:rPr>
  </w:style>
  <w:style w:type="paragraph" w:customStyle="1" w:styleId="Style1">
    <w:name w:val="Style1"/>
    <w:basedOn w:val="Heading10"/>
    <w:next w:val="Heading10"/>
    <w:rsid w:val="00693C9B"/>
    <w:pPr>
      <w:tabs>
        <w:tab w:val="num" w:pos="720"/>
      </w:tabs>
      <w:ind w:left="720" w:hanging="720"/>
    </w:pPr>
    <w:rPr>
      <w:rFonts w:ascii="Univers Condensed" w:hAnsi="Univers Condensed"/>
      <w:b/>
      <w:sz w:val="22"/>
    </w:rPr>
  </w:style>
  <w:style w:type="paragraph" w:customStyle="1" w:styleId="heading2">
    <w:name w:val="heading2"/>
    <w:basedOn w:val="Normal"/>
    <w:rsid w:val="00693C9B"/>
    <w:pPr>
      <w:numPr>
        <w:numId w:val="19"/>
      </w:numPr>
    </w:pPr>
    <w:rPr>
      <w:rFonts w:ascii="Univers Condensed" w:hAnsi="Univers Condensed"/>
      <w:b/>
      <w:sz w:val="28"/>
    </w:rPr>
  </w:style>
  <w:style w:type="paragraph" w:customStyle="1" w:styleId="bodytext0">
    <w:name w:val="bodytext"/>
    <w:basedOn w:val="Normal"/>
    <w:rsid w:val="00693C9B"/>
    <w:pPr>
      <w:ind w:left="720"/>
    </w:pPr>
    <w:rPr>
      <w:sz w:val="24"/>
    </w:rPr>
  </w:style>
  <w:style w:type="paragraph" w:customStyle="1" w:styleId="subheading1">
    <w:name w:val="subheading1"/>
    <w:basedOn w:val="Normal"/>
    <w:rsid w:val="00693C9B"/>
    <w:pPr>
      <w:numPr>
        <w:ilvl w:val="1"/>
        <w:numId w:val="19"/>
      </w:numPr>
    </w:pPr>
    <w:rPr>
      <w:rFonts w:ascii="Univers Condensed" w:hAnsi="Univers Condensed"/>
      <w:b/>
      <w:sz w:val="24"/>
    </w:rPr>
  </w:style>
  <w:style w:type="paragraph" w:customStyle="1" w:styleId="bodytext20">
    <w:name w:val="bodytext2"/>
    <w:basedOn w:val="Normal"/>
    <w:rsid w:val="00693C9B"/>
    <w:pPr>
      <w:ind w:left="720" w:firstLine="720"/>
    </w:pPr>
    <w:rPr>
      <w:sz w:val="24"/>
    </w:rPr>
  </w:style>
  <w:style w:type="paragraph" w:customStyle="1" w:styleId="bulletedtext">
    <w:name w:val="bulletedtext"/>
    <w:basedOn w:val="Normal"/>
    <w:rsid w:val="00693C9B"/>
    <w:pPr>
      <w:numPr>
        <w:numId w:val="3"/>
      </w:numPr>
    </w:pPr>
    <w:rPr>
      <w:sz w:val="24"/>
    </w:rPr>
  </w:style>
  <w:style w:type="paragraph" w:customStyle="1" w:styleId="subheading2">
    <w:name w:val="subheading2"/>
    <w:basedOn w:val="bulletedtext"/>
    <w:rsid w:val="00693C9B"/>
    <w:pPr>
      <w:numPr>
        <w:numId w:val="0"/>
      </w:numPr>
      <w:ind w:left="1800" w:hanging="360"/>
    </w:pPr>
    <w:rPr>
      <w:rFonts w:ascii="Univers Condensed" w:hAnsi="Univers Condensed"/>
      <w:b/>
    </w:rPr>
  </w:style>
  <w:style w:type="paragraph" w:styleId="DocumentMap">
    <w:name w:val="Document Map"/>
    <w:basedOn w:val="Normal"/>
    <w:semiHidden/>
    <w:rsid w:val="00693C9B"/>
    <w:pPr>
      <w:shd w:val="clear" w:color="auto" w:fill="000080"/>
    </w:pPr>
    <w:rPr>
      <w:rFonts w:ascii="Tahoma" w:hAnsi="Tahoma"/>
    </w:rPr>
  </w:style>
  <w:style w:type="paragraph" w:styleId="BodyTextIndent2">
    <w:name w:val="Body Text Indent 2"/>
    <w:basedOn w:val="Normal"/>
    <w:rsid w:val="00693C9B"/>
    <w:pPr>
      <w:widowControl w:val="0"/>
      <w:tabs>
        <w:tab w:val="left" w:pos="360"/>
        <w:tab w:val="left" w:pos="1080"/>
        <w:tab w:val="left" w:pos="2160"/>
        <w:tab w:val="left" w:pos="2880"/>
        <w:tab w:val="left" w:pos="3600"/>
        <w:tab w:val="left" w:pos="4320"/>
        <w:tab w:val="left" w:pos="5040"/>
        <w:tab w:val="left" w:pos="5760"/>
        <w:tab w:val="left" w:pos="6480"/>
        <w:tab w:val="left" w:pos="7200"/>
        <w:tab w:val="left" w:pos="7920"/>
        <w:tab w:val="left" w:pos="8640"/>
      </w:tabs>
      <w:ind w:left="1080"/>
    </w:pPr>
    <w:rPr>
      <w:rFonts w:ascii="Arial" w:hAnsi="Arial"/>
      <w:snapToGrid w:val="0"/>
      <w:color w:val="000000"/>
    </w:rPr>
  </w:style>
  <w:style w:type="paragraph" w:customStyle="1" w:styleId="H5">
    <w:name w:val="H5"/>
    <w:basedOn w:val="Normal"/>
    <w:next w:val="Normal"/>
    <w:rsid w:val="00693C9B"/>
    <w:pPr>
      <w:keepNext/>
      <w:spacing w:before="100" w:after="100"/>
      <w:outlineLvl w:val="5"/>
    </w:pPr>
    <w:rPr>
      <w:b/>
      <w:snapToGrid w:val="0"/>
    </w:rPr>
  </w:style>
  <w:style w:type="paragraph" w:styleId="BodyTextIndent">
    <w:name w:val="Body Text Indent"/>
    <w:basedOn w:val="Normal"/>
    <w:rsid w:val="00693C9B"/>
    <w:pPr>
      <w:ind w:left="720"/>
      <w:outlineLvl w:val="0"/>
    </w:pPr>
    <w:rPr>
      <w:snapToGrid w:val="0"/>
      <w:color w:val="000000"/>
      <w:sz w:val="24"/>
    </w:rPr>
  </w:style>
  <w:style w:type="paragraph" w:customStyle="1" w:styleId="BodySingle">
    <w:name w:val="Body Single"/>
    <w:rsid w:val="00693C9B"/>
    <w:rPr>
      <w:snapToGrid w:val="0"/>
      <w:color w:val="000000"/>
      <w:sz w:val="24"/>
    </w:rPr>
  </w:style>
  <w:style w:type="paragraph" w:customStyle="1" w:styleId="TableCellLeft">
    <w:name w:val="Table Cell Left"/>
    <w:basedOn w:val="Normal"/>
    <w:rsid w:val="00693C9B"/>
    <w:pPr>
      <w:spacing w:before="50" w:after="14"/>
    </w:pPr>
    <w:rPr>
      <w:rFonts w:ascii="Arial" w:hAnsi="Arial"/>
      <w:kern w:val="28"/>
    </w:rPr>
  </w:style>
  <w:style w:type="paragraph" w:customStyle="1" w:styleId="TableLeft">
    <w:name w:val="Table Left"/>
    <w:basedOn w:val="FootnoteText"/>
    <w:rsid w:val="00693C9B"/>
    <w:pPr>
      <w:widowControl w:val="0"/>
    </w:pPr>
    <w:rPr>
      <w:rFonts w:ascii="Arial" w:hAnsi="Arial"/>
    </w:rPr>
  </w:style>
  <w:style w:type="paragraph" w:styleId="FootnoteText">
    <w:name w:val="footnote text"/>
    <w:basedOn w:val="Normal"/>
    <w:semiHidden/>
    <w:rsid w:val="00693C9B"/>
  </w:style>
  <w:style w:type="paragraph" w:styleId="BodyTextIndent3">
    <w:name w:val="Body Text Indent 3"/>
    <w:basedOn w:val="Normal"/>
    <w:rsid w:val="00693C9B"/>
    <w:pPr>
      <w:ind w:left="720"/>
    </w:pPr>
    <w:rPr>
      <w:sz w:val="24"/>
    </w:rPr>
  </w:style>
  <w:style w:type="paragraph" w:styleId="List">
    <w:name w:val="List"/>
    <w:basedOn w:val="Normal"/>
    <w:rsid w:val="00693C9B"/>
    <w:pPr>
      <w:tabs>
        <w:tab w:val="left" w:pos="0"/>
        <w:tab w:val="left" w:pos="540"/>
        <w:tab w:val="left" w:pos="1080"/>
        <w:tab w:val="right" w:leader="dot" w:pos="4680"/>
        <w:tab w:val="left" w:pos="5040"/>
        <w:tab w:val="left" w:pos="5400"/>
        <w:tab w:val="right" w:pos="7920"/>
        <w:tab w:val="right" w:leader="dot" w:pos="9720"/>
      </w:tabs>
      <w:spacing w:before="120"/>
    </w:pPr>
    <w:rPr>
      <w:rFonts w:ascii="Arial Narrow" w:hAnsi="Arial Narrow"/>
      <w:sz w:val="18"/>
    </w:rPr>
  </w:style>
  <w:style w:type="character" w:styleId="FootnoteReference">
    <w:name w:val="footnote reference"/>
    <w:basedOn w:val="DefaultParagraphFont"/>
    <w:semiHidden/>
    <w:rsid w:val="00693C9B"/>
    <w:rPr>
      <w:vertAlign w:val="superscript"/>
    </w:rPr>
  </w:style>
  <w:style w:type="character" w:customStyle="1" w:styleId="xxsmall">
    <w:name w:val="xxsmall"/>
    <w:basedOn w:val="DefaultParagraphFont"/>
    <w:rsid w:val="00693C9B"/>
    <w:rPr>
      <w:rFonts w:ascii="Arial" w:hAnsi="Arial" w:cs="Arial" w:hint="default"/>
      <w:sz w:val="16"/>
      <w:szCs w:val="16"/>
    </w:rPr>
  </w:style>
  <w:style w:type="paragraph" w:customStyle="1" w:styleId="SectionTitle">
    <w:name w:val="Section Title"/>
    <w:basedOn w:val="BodyText"/>
    <w:next w:val="BodyText"/>
    <w:rsid w:val="00693C9B"/>
    <w:pPr>
      <w:keepNext/>
      <w:spacing w:before="240"/>
    </w:pPr>
    <w:rPr>
      <w:rFonts w:ascii="Arial" w:hAnsi="Arial"/>
      <w:b/>
      <w:sz w:val="28"/>
    </w:rPr>
  </w:style>
  <w:style w:type="character" w:customStyle="1" w:styleId="tableentry">
    <w:name w:val="tableentry"/>
    <w:basedOn w:val="DefaultParagraphFont"/>
    <w:rsid w:val="00693C9B"/>
    <w:rPr>
      <w:rFonts w:ascii="Arial" w:hAnsi="Arial" w:cs="Arial" w:hint="default"/>
      <w:sz w:val="20"/>
      <w:szCs w:val="20"/>
    </w:rPr>
  </w:style>
  <w:style w:type="paragraph" w:styleId="BalloonText">
    <w:name w:val="Balloon Text"/>
    <w:basedOn w:val="Normal"/>
    <w:semiHidden/>
    <w:rsid w:val="00B15E87"/>
    <w:rPr>
      <w:rFonts w:ascii="Tahoma" w:hAnsi="Tahoma" w:cs="Tahoma"/>
      <w:sz w:val="16"/>
      <w:szCs w:val="16"/>
    </w:rPr>
  </w:style>
  <w:style w:type="paragraph" w:styleId="ListParagraph">
    <w:name w:val="List Paragraph"/>
    <w:basedOn w:val="Normal"/>
    <w:uiPriority w:val="34"/>
    <w:qFormat/>
    <w:rsid w:val="00E96399"/>
    <w:pPr>
      <w:keepLines/>
      <w:ind w:left="720"/>
      <w:contextualSpacing/>
      <w:jc w:val="both"/>
    </w:pPr>
    <w:rPr>
      <w:sz w:val="24"/>
      <w:lang w:val="en-GB"/>
    </w:rPr>
  </w:style>
  <w:style w:type="table" w:styleId="TableGrid">
    <w:name w:val="Table Grid"/>
    <w:basedOn w:val="TableNormal"/>
    <w:uiPriority w:val="59"/>
    <w:rsid w:val="00193F7B"/>
    <w:rPr>
      <w:rFonts w:ascii="Arial" w:eastAsiaTheme="minorHAnsi"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611044">
      <w:bodyDiv w:val="1"/>
      <w:marLeft w:val="0"/>
      <w:marRight w:val="0"/>
      <w:marTop w:val="0"/>
      <w:marBottom w:val="0"/>
      <w:divBdr>
        <w:top w:val="none" w:sz="0" w:space="0" w:color="auto"/>
        <w:left w:val="none" w:sz="0" w:space="0" w:color="auto"/>
        <w:bottom w:val="none" w:sz="0" w:space="0" w:color="auto"/>
        <w:right w:val="none" w:sz="0" w:space="0" w:color="auto"/>
      </w:divBdr>
    </w:div>
    <w:div w:id="156062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haredoc.collaboration.agilent.com/sites/EHS/SD/KP/Business%20Management%20System%20(Quality-EH-S)/008527.doc" TargetMode="External"/><Relationship Id="rId18" Type="http://schemas.openxmlformats.org/officeDocument/2006/relationships/hyperlink" Target="http://sharedoc.collaboration.agilent.com/sites/EHS/SD/KP/Business%20Management%20System%20(Quality-EH-S)/008558.doc"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haredoc.collaboration.agilent.com/sites/EHS/SD/KP/Business%20Management%20System%20(Quality-EH-S)/008557.doc" TargetMode="External"/><Relationship Id="rId2" Type="http://schemas.openxmlformats.org/officeDocument/2006/relationships/customXml" Target="../customXml/item2.xml"/><Relationship Id="rId16" Type="http://schemas.openxmlformats.org/officeDocument/2006/relationships/hyperlink" Target="http://sharedoc.collaboration.agilent.com/sites/EHS/SD/KP/Business%20Management%20System%20(Quality-EH-S)/008555.doc"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haredoc.collaboration.agilent.com/sites/EHS/SD/KP/Business%20Management%20System%20(Quality-EH-S)/008570.doc" TargetMode="Externa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yperlink" Target="https://wps.service.agilent.com/global_ehs/contractor_mgmt/contractor_safety/index.ht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haredoc.collaboration.agilent.com/sites/EHS/SD/KP/Business%20Management%20System%20(Quality-EH-S)/Agilent%20EHS%20Policy%20March2015_Public.docx"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sharedoc.collaboration.agilent.com/sites/EHS/SD/KP/Business%20Management%20System%20(Quality-EH-S)/008550.doc" TargetMode="External"/><Relationship Id="rId1" Type="http://schemas.openxmlformats.org/officeDocument/2006/relationships/hyperlink" Target="http://sharedoc.collaboration.agilent.com/sites/EHS/SD/KP/Business%20Management%20System%20(Quality-EH-S)/008550.doc"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file>

<file path=customXml/item2.xml><?xml version="1.0" encoding="utf-8"?>
<?mso-contentType ?>
<customXsn xmlns="http://schemas.microsoft.com/office/2006/metadata/customXsn">
  <xsnLocation/>
  <cached>True</cached>
  <openByDefault>False</openByDefault>
  <xsnScope/>
</customXsn>
</file>

<file path=customXml/item3.xml><?xml version="1.0" encoding="utf-8"?>
<?mso-contentType ?>
<p:Policy xmlns:p="office.server.policy" id="" local="true">
  <p:Name>ShareDoc Document</p:Name>
  <p:Description>Document Expiration Policy</p:Description>
  <p:Statement>This Document will be expired as per the Retention Period applied.</p:Statement>
  <p:PolicyItems>
    <p:PolicyItem featureId="Microsoft.Office.RecordsManagement.PolicyFeatures.Expiration" staticId="0x010100B0C286F4217DEE4B88AD91B5C5BD7EAB009BCF58990AE44C4D8E69AD2442CE7D55|-1645218868" UniqueId="b0f6b015-39fd-48ac-aa40-816c03c5397f">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1</number>
                  <property>Expiration_x0020_Date0</property>
                  <propertyId>cc70aa07-3a77-4ce1-afb1-07f200c254e2</propertyId>
                  <period>days</period>
                </formula>
                <action type="workflow" id="591c6f10-97b6-468f-8434-04a6ce5b25cd"/>
              </data>
            </stages>
          </Schedule>
        </Schedules>
      </p:CustomData>
    </p:PolicyItem>
  </p:PolicyItems>
</p:Policy>
</file>

<file path=customXml/item4.xml><?xml version="1.0" encoding="utf-8"?>
<ct:contentTypeSchema xmlns:ct="http://schemas.microsoft.com/office/2006/metadata/contentType" xmlns:ma="http://schemas.microsoft.com/office/2006/metadata/properties/metaAttributes" ct:_="" ma:_="" ma:contentTypeName="ShareDoc Document" ma:contentTypeID="0x010100B0C286F4217DEE4B88AD91B5C5BD7EAB009BCF58990AE44C4D8E69AD2442CE7D55" ma:contentTypeVersion="23" ma:contentTypeDescription="Create a new ShareDoc Document" ma:contentTypeScope="" ma:versionID="4833f7c495de5efa76553b35bf3d5c6d">
  <xsd:schema xmlns:xsd="http://www.w3.org/2001/XMLSchema" xmlns:xs="http://www.w3.org/2001/XMLSchema" xmlns:p="http://schemas.microsoft.com/office/2006/metadata/properties" xmlns:ns1="http://schemas.microsoft.com/sharepoint/v3" xmlns:ns2="7d3c8fe7-f6a6-49c8-b261-12ce1dae5f1c" xmlns:ns3="efcbcbdb-fe01-4fd1-b069-39aa3cd1fe01" targetNamespace="http://schemas.microsoft.com/office/2006/metadata/properties" ma:root="true" ma:fieldsID="5538b725bffb322569334b9b55cf5ad4" ns1:_="" ns2:_="" ns3:_="">
    <xsd:import namespace="http://schemas.microsoft.com/sharepoint/v3"/>
    <xsd:import namespace="7d3c8fe7-f6a6-49c8-b261-12ce1dae5f1c"/>
    <xsd:import namespace="efcbcbdb-fe01-4fd1-b069-39aa3cd1fe01"/>
    <xsd:element name="properties">
      <xsd:complexType>
        <xsd:sequence>
          <xsd:element name="documentManagement">
            <xsd:complexType>
              <xsd:all>
                <xsd:element ref="ns2:Business_x0020_Unit"/>
                <xsd:element ref="ns3:Program"/>
                <xsd:element ref="ns3:Project"/>
                <xsd:element ref="ns2:Doc_x0020_Type"/>
                <xsd:element ref="ns2:Sub_x0020_Doc_x0020_Type"/>
                <xsd:element ref="ns2:Sub_x0020_Doc_x0020_Type_x0020_2" minOccurs="0"/>
                <xsd:element ref="ns3:Function" minOccurs="0"/>
                <xsd:element ref="ns2:Sub_x0020_Function" minOccurs="0"/>
                <xsd:element ref="ns2:Product_x0020_Line" minOccurs="0"/>
                <xsd:element ref="ns3:Product" minOccurs="0"/>
                <xsd:element ref="ns2:Release_x0020_Status"/>
                <xsd:element ref="ns3:WorkFlow" minOccurs="0"/>
                <xsd:element ref="ns2:Retention_x0020_Period"/>
                <xsd:element ref="ns2:Expiration_x0020_Date" minOccurs="0"/>
                <xsd:element ref="ns2:On_x0020_Hold" minOccurs="0"/>
                <xsd:element ref="ns2:Security_x0020_Group"/>
                <xsd:element ref="ns2:Secure_x0020_Group" minOccurs="0"/>
                <xsd:element ref="ns2:Content_x0020_Owner"/>
                <xsd:element ref="ns2:Document_x0020_Reference" minOccurs="0"/>
                <xsd:element ref="ns2:User_x0020_Defined" minOccurs="0"/>
                <xsd:element ref="ns2:Legacy_x0020_Author" minOccurs="0"/>
                <xsd:element ref="ns2:Legacy_x0020_ID" minOccurs="0"/>
                <xsd:element ref="ns1:_dlc_Exempt" minOccurs="0"/>
                <xsd:element ref="ns1:_dlc_ExpireDateSaved" minOccurs="0"/>
                <xsd:element ref="ns1:_dlc_ExpireDate" minOccurs="0"/>
                <xsd:element ref="ns2:ShareDocDocumentExpir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1" nillable="true" ma:displayName="Exempt from Policy" ma:description="" ma:hidden="true" ma:internalName="_dlc_Exempt" ma:readOnly="true">
      <xsd:simpleType>
        <xsd:restriction base="dms:Unknown"/>
      </xsd:simpleType>
    </xsd:element>
    <xsd:element name="_dlc_ExpireDateSaved" ma:index="32" nillable="true" ma:displayName="Original Expiration Date" ma:description="" ma:hidden="true" ma:internalName="_dlc_ExpireDateSaved" ma:readOnly="true">
      <xsd:simpleType>
        <xsd:restriction base="dms:DateTime"/>
      </xsd:simpleType>
    </xsd:element>
    <xsd:element name="_dlc_ExpireDate" ma:index="33" nillable="true" ma:displayName="Expiration Date" ma:description="" ma:hidden="true" ma:indexed="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d3c8fe7-f6a6-49c8-b261-12ce1dae5f1c" elementFormDefault="qualified">
    <xsd:import namespace="http://schemas.microsoft.com/office/2006/documentManagement/types"/>
    <xsd:import namespace="http://schemas.microsoft.com/office/infopath/2007/PartnerControls"/>
    <xsd:element name="Business_x0020_Unit" ma:index="2" ma:displayName="Business" ma:internalName="Business_x0020_Unit" ma:readOnly="false">
      <xsd:simpleType>
        <xsd:restriction base="dms:Text">
          <xsd:maxLength value="255"/>
        </xsd:restriction>
      </xsd:simpleType>
    </xsd:element>
    <xsd:element name="Doc_x0020_Type" ma:index="5" ma:displayName="Doc Type" ma:internalName="Doc_x0020_Type" ma:readOnly="false">
      <xsd:simpleType>
        <xsd:restriction base="dms:Text">
          <xsd:maxLength value="255"/>
        </xsd:restriction>
      </xsd:simpleType>
    </xsd:element>
    <xsd:element name="Sub_x0020_Doc_x0020_Type" ma:index="6" ma:displayName="Sub Doc Type" ma:internalName="Sub_x0020_Doc_x0020_Type" ma:readOnly="false">
      <xsd:simpleType>
        <xsd:restriction base="dms:Text">
          <xsd:maxLength value="255"/>
        </xsd:restriction>
      </xsd:simpleType>
    </xsd:element>
    <xsd:element name="Sub_x0020_Doc_x0020_Type_x0020_2" ma:index="7" nillable="true" ma:displayName="Sub Doc Type 2" ma:internalName="Sub_x0020_Doc_x0020_Type_x0020_2" ma:readOnly="false">
      <xsd:simpleType>
        <xsd:restriction base="dms:Text">
          <xsd:maxLength value="255"/>
        </xsd:restriction>
      </xsd:simpleType>
    </xsd:element>
    <xsd:element name="Sub_x0020_Function" ma:index="9" nillable="true" ma:displayName="Sub Function" ma:internalName="Sub_x0020_Function" ma:readOnly="false">
      <xsd:simpleType>
        <xsd:restriction base="dms:Text">
          <xsd:maxLength value="255"/>
        </xsd:restriction>
      </xsd:simpleType>
    </xsd:element>
    <xsd:element name="Product_x0020_Line" ma:index="10" nillable="true" ma:displayName="Product Line" ma:internalName="Product_x0020_Line" ma:readOnly="false">
      <xsd:simpleType>
        <xsd:restriction base="dms:Text">
          <xsd:maxLength value="255"/>
        </xsd:restriction>
      </xsd:simpleType>
    </xsd:element>
    <xsd:element name="Release_x0020_Status" ma:index="12" ma:displayName="Release Status" ma:default="Released" ma:format="Dropdown" ma:internalName="Release_x0020_Status" ma:readOnly="false">
      <xsd:simpleType>
        <xsd:restriction base="dms:Choice">
          <xsd:enumeration value="Draft"/>
          <xsd:enumeration value="Released"/>
          <xsd:enumeration value="Inactive"/>
          <xsd:enumeration value="Send To Workflow"/>
          <xsd:enumeration value="Non-Versioned"/>
        </xsd:restriction>
      </xsd:simpleType>
    </xsd:element>
    <xsd:element name="Retention_x0020_Period" ma:index="14" ma:displayName="Retention Period" ma:internalName="Retention_x0020_Period" ma:readOnly="false">
      <xsd:simpleType>
        <xsd:restriction base="dms:Text">
          <xsd:maxLength value="255"/>
        </xsd:restriction>
      </xsd:simpleType>
    </xsd:element>
    <xsd:element name="Expiration_x0020_Date" ma:index="15" nillable="true" ma:displayName="Expiration Date" ma:format="DateOnly" ma:internalName="Expiration_x0020_Date0" ma:readOnly="false">
      <xsd:simpleType>
        <xsd:restriction base="dms:DateTime"/>
      </xsd:simpleType>
    </xsd:element>
    <xsd:element name="On_x0020_Hold" ma:index="16" nillable="true" ma:displayName="Legal Hold" ma:default="0" ma:internalName="On_x0020_Hold" ma:readOnly="false">
      <xsd:simpleType>
        <xsd:restriction base="dms:Boolean"/>
      </xsd:simpleType>
    </xsd:element>
    <xsd:element name="Security_x0020_Group" ma:index="17" ma:displayName="Security Group" ma:format="Dropdown" ma:internalName="Security_x0020_Group" ma:readOnly="false">
      <xsd:simpleType>
        <xsd:restriction base="dms:Choice">
          <xsd:enumeration value="All User Access"/>
          <xsd:enumeration value="Export Allowed Access"/>
          <xsd:enumeration value="Limited Access"/>
          <xsd:enumeration value="Secure Access"/>
        </xsd:restriction>
      </xsd:simpleType>
    </xsd:element>
    <xsd:element name="Secure_x0020_Group" ma:index="18" nillable="true" ma:displayName="Secure Group" ma:internalName="Secure_x0020_Group" ma:readOnly="false">
      <xsd:simpleType>
        <xsd:restriction base="dms:Text">
          <xsd:maxLength value="255"/>
        </xsd:restriction>
      </xsd:simpleType>
    </xsd:element>
    <xsd:element name="Content_x0020_Owner" ma:index="19" ma:displayName="Content Owner" ma:SharePointGroup="0" ma:internalName="Content_x0020_Owner"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Reference" ma:index="20" nillable="true" ma:displayName="Document Reference" ma:internalName="Document_x0020_Reference" ma:readOnly="false">
      <xsd:simpleType>
        <xsd:restriction base="dms:Text">
          <xsd:maxLength value="255"/>
        </xsd:restriction>
      </xsd:simpleType>
    </xsd:element>
    <xsd:element name="User_x0020_Defined" ma:index="21" nillable="true" ma:displayName="User Defined" ma:internalName="User_x0020_Defined" ma:readOnly="false">
      <xsd:simpleType>
        <xsd:restriction base="dms:Text">
          <xsd:maxLength value="255"/>
        </xsd:restriction>
      </xsd:simpleType>
    </xsd:element>
    <xsd:element name="Legacy_x0020_Author" ma:index="23" nillable="true" ma:displayName="Legacy Author" ma:internalName="Legacy_x0020_Author" ma:readOnly="false">
      <xsd:simpleType>
        <xsd:restriction base="dms:Text">
          <xsd:maxLength value="255"/>
        </xsd:restriction>
      </xsd:simpleType>
    </xsd:element>
    <xsd:element name="Legacy_x0020_ID" ma:index="24" nillable="true" ma:displayName="Legacy ID" ma:internalName="Legacy_x0020_ID" ma:readOnly="false">
      <xsd:simpleType>
        <xsd:restriction base="dms:Text">
          <xsd:maxLength value="255"/>
        </xsd:restriction>
      </xsd:simpleType>
    </xsd:element>
    <xsd:element name="ShareDocDocumentExpiration" ma:index="34" nillable="true" ma:displayName="ShareDocDocumentExpiration" ma:internalName="ShareDocDocumentExpiration">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fcbcbdb-fe01-4fd1-b069-39aa3cd1fe01" elementFormDefault="qualified">
    <xsd:import namespace="http://schemas.microsoft.com/office/2006/documentManagement/types"/>
    <xsd:import namespace="http://schemas.microsoft.com/office/infopath/2007/PartnerControls"/>
    <xsd:element name="Program" ma:index="3" ma:displayName="Program" ma:internalName="Program" ma:readOnly="false">
      <xsd:simpleType>
        <xsd:restriction base="dms:Text">
          <xsd:maxLength value="255"/>
        </xsd:restriction>
      </xsd:simpleType>
    </xsd:element>
    <xsd:element name="Project" ma:index="4" ma:displayName="Project" ma:internalName="Project" ma:readOnly="false">
      <xsd:simpleType>
        <xsd:restriction base="dms:Text">
          <xsd:maxLength value="255"/>
        </xsd:restriction>
      </xsd:simpleType>
    </xsd:element>
    <xsd:element name="Function" ma:index="8" nillable="true" ma:displayName="Function" ma:internalName="Function" ma:readOnly="false">
      <xsd:simpleType>
        <xsd:restriction base="dms:Text">
          <xsd:maxLength value="255"/>
        </xsd:restriction>
      </xsd:simpleType>
    </xsd:element>
    <xsd:element name="Product" ma:index="11" nillable="true" ma:displayName="Product" ma:internalName="Product" ma:readOnly="false">
      <xsd:simpleType>
        <xsd:restriction base="dms:Text">
          <xsd:maxLength value="255"/>
        </xsd:restriction>
      </xsd:simpleType>
    </xsd:element>
    <xsd:element name="WorkFlow" ma:index="13" nillable="true" ma:displayName="WorkFlow" ma:internalName="WorkFlow"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ma:readOnly="tru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documentManagement>
    <Business_x0020_Unit xmlns="7d3c8fe7-f6a6-49c8-b261-12ce1dae5f1c">EHS</Business_x0020_Unit>
    <Project xmlns="efcbcbdb-fe01-4fd1-b069-39aa3cd1fe01">Business Management System (Quality-EH-S)</Project>
    <Sub_x0020_Function xmlns="7d3c8fe7-f6a6-49c8-b261-12ce1dae5f1c">EHS</Sub_x0020_Function>
    <Security_x0020_Group xmlns="7d3c8fe7-f6a6-49c8-b261-12ce1dae5f1c">All User Access</Security_x0020_Group>
    <Sub_x0020_Doc_x0020_Type_x0020_2 xmlns="7d3c8fe7-f6a6-49c8-b261-12ce1dae5f1c">Quality/EHS Standards</Sub_x0020_Doc_x0020_Type_x0020_2>
    <Secure_x0020_Group xmlns="7d3c8fe7-f6a6-49c8-b261-12ce1dae5f1c" xsi:nil="true"/>
    <Sub_x0020_Doc_x0020_Type xmlns="7d3c8fe7-f6a6-49c8-b261-12ce1dae5f1c">Environmental Health &amp; Safety (EH&amp;S)</Sub_x0020_Doc_x0020_Type>
    <Product_x0020_Line xmlns="7d3c8fe7-f6a6-49c8-b261-12ce1dae5f1c" xsi:nil="true"/>
    <Product xmlns="efcbcbdb-fe01-4fd1-b069-39aa3cd1fe01" xsi:nil="true"/>
    <On_x0020_Hold xmlns="7d3c8fe7-f6a6-49c8-b261-12ce1dae5f1c">false</On_x0020_Hold>
    <Document_x0020_Reference xmlns="7d3c8fe7-f6a6-49c8-b261-12ce1dae5f1c" xsi:nil="true"/>
    <Legacy_x0020_Author xmlns="7d3c8fe7-f6a6-49c8-b261-12ce1dae5f1c">agilent\dbaldwin Paulson, Karl</Legacy_x0020_Author>
    <Function xmlns="efcbcbdb-fe01-4fd1-b069-39aa3cd1fe01">EHS</Function>
    <User_x0020_Defined xmlns="7d3c8fe7-f6a6-49c8-b261-12ce1dae5f1c">docx</User_x0020_Defined>
    <WorkFlow xmlns="efcbcbdb-fe01-4fd1-b069-39aa3cd1fe01">WorkFlow Not Required</WorkFlow>
    <Legacy_x0020_ID xmlns="7d3c8fe7-f6a6-49c8-b261-12ce1dae5f1c">008850</Legacy_x0020_ID>
    <Expiration_x0020_Date xmlns="7d3c8fe7-f6a6-49c8-b261-12ce1dae5f1c">2099-01-01T08:00:00+00:00</Expiration_x0020_Date>
    <Content_x0020_Owner xmlns="7d3c8fe7-f6a6-49c8-b261-12ce1dae5f1c">
      <UserInfo>
        <DisplayName>PAULSON,KARL (A-SantaClara,ex1)</DisplayName>
        <AccountId>28</AccountId>
        <AccountType/>
      </UserInfo>
    </Content_x0020_Owner>
    <Program xmlns="efcbcbdb-fe01-4fd1-b069-39aa3cd1fe01">KP</Program>
    <Retention_x0020_Period xmlns="7d3c8fe7-f6a6-49c8-b261-12ce1dae5f1c">Permanent</Retention_x0020_Period>
    <Doc_x0020_Type xmlns="7d3c8fe7-f6a6-49c8-b261-12ce1dae5f1c">Environmental Health &amp; Safety (EH&amp;S)</Doc_x0020_Type>
    <Release_x0020_Status xmlns="7d3c8fe7-f6a6-49c8-b261-12ce1dae5f1c">Released</Release_x0020_Status>
    <ShareDocDocumentExpiration xmlns="7d3c8fe7-f6a6-49c8-b261-12ce1dae5f1c">
      <Url xsi:nil="true"/>
      <Description xsi:nil="true"/>
    </ShareDocDocumentExpiration>
    <_dlc_ExpireDateSaved xmlns="http://schemas.microsoft.com/sharepoint/v3" xsi:nil="true"/>
    <_dlc_ExpireDate xmlns="http://schemas.microsoft.com/sharepoint/v3">2099-01-02T08:00:00+00:00</_dlc_ExpireDate>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CC1E63-1575-4A2A-A48B-883F73BA2EAD}">
  <ds:schemaRefs>
    <ds:schemaRef ds:uri="http://schemas.microsoft.com/sharepoint/v3/contenttype/forms"/>
  </ds:schemaRefs>
</ds:datastoreItem>
</file>

<file path=customXml/itemProps2.xml><?xml version="1.0" encoding="utf-8"?>
<ds:datastoreItem xmlns:ds="http://schemas.openxmlformats.org/officeDocument/2006/customXml" ds:itemID="{BD0972F4-CD8E-491B-9221-749F6460FA58}">
  <ds:schemaRefs>
    <ds:schemaRef ds:uri="http://schemas.microsoft.com/office/2006/metadata/customXsn"/>
  </ds:schemaRefs>
</ds:datastoreItem>
</file>

<file path=customXml/itemProps3.xml><?xml version="1.0" encoding="utf-8"?>
<ds:datastoreItem xmlns:ds="http://schemas.openxmlformats.org/officeDocument/2006/customXml" ds:itemID="{AB15029B-EB1F-42B4-BCF0-862FF4F5DFB7}">
  <ds:schemaRefs>
    <ds:schemaRef ds:uri="office.server.policy"/>
  </ds:schemaRefs>
</ds:datastoreItem>
</file>

<file path=customXml/itemProps4.xml><?xml version="1.0" encoding="utf-8"?>
<ds:datastoreItem xmlns:ds="http://schemas.openxmlformats.org/officeDocument/2006/customXml" ds:itemID="{E22EF327-13D2-4ED9-92BD-2E03C99125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d3c8fe7-f6a6-49c8-b261-12ce1dae5f1c"/>
    <ds:schemaRef ds:uri="efcbcbdb-fe01-4fd1-b069-39aa3cd1fe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89EF5F5-35F2-4D41-AFA8-8CE11FE8B41A}">
  <ds:schemaRefs>
    <ds:schemaRef ds:uri="http://purl.org/dc/terms/"/>
    <ds:schemaRef ds:uri="http://purl.org/dc/elements/1.1/"/>
    <ds:schemaRef ds:uri="http://schemas.microsoft.com/office/2006/metadata/properties"/>
    <ds:schemaRef ds:uri="7d3c8fe7-f6a6-49c8-b261-12ce1dae5f1c"/>
    <ds:schemaRef ds:uri="http://schemas.microsoft.com/office/infopath/2007/PartnerControls"/>
    <ds:schemaRef ds:uri="http://purl.org/dc/dcmitype/"/>
    <ds:schemaRef ds:uri="http://schemas.microsoft.com/sharepoint/v3"/>
    <ds:schemaRef ds:uri="http://schemas.microsoft.com/office/2006/documentManagement/types"/>
    <ds:schemaRef ds:uri="http://schemas.openxmlformats.org/package/2006/metadata/core-properties"/>
    <ds:schemaRef ds:uri="efcbcbdb-fe01-4fd1-b069-39aa3cd1fe01"/>
    <ds:schemaRef ds:uri="http://www.w3.org/XML/1998/namespace"/>
  </ds:schemaRefs>
</ds:datastoreItem>
</file>

<file path=customXml/itemProps6.xml><?xml version="1.0" encoding="utf-8"?>
<ds:datastoreItem xmlns:ds="http://schemas.openxmlformats.org/officeDocument/2006/customXml" ds:itemID="{8E7B96A4-82FD-4DF1-B3A6-0AAF78B2E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6887</Words>
  <Characters>39257</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Agilent EHS Standard: Contractor EHS Requirements</vt:lpstr>
    </vt:vector>
  </TitlesOfParts>
  <Company>Agilent</Company>
  <LinksUpToDate>false</LinksUpToDate>
  <CharactersWithSpaces>46052</CharactersWithSpaces>
  <SharedDoc>false</SharedDoc>
  <HLinks>
    <vt:vector size="72" baseType="variant">
      <vt:variant>
        <vt:i4>589854</vt:i4>
      </vt:variant>
      <vt:variant>
        <vt:i4>47</vt:i4>
      </vt:variant>
      <vt:variant>
        <vt:i4>0</vt:i4>
      </vt:variant>
      <vt:variant>
        <vt:i4>5</vt:i4>
      </vt:variant>
      <vt:variant>
        <vt:lpwstr>http://essq.corporate.agilent.com/ehs/contractor_mgmt/contractor_safety/</vt:lpwstr>
      </vt:variant>
      <vt:variant>
        <vt:lpwstr/>
      </vt:variant>
      <vt:variant>
        <vt:i4>4849705</vt:i4>
      </vt:variant>
      <vt:variant>
        <vt:i4>24</vt:i4>
      </vt:variant>
      <vt:variant>
        <vt:i4>0</vt:i4>
      </vt:variant>
      <vt:variant>
        <vt:i4>5</vt:i4>
      </vt:variant>
      <vt:variant>
        <vt:lpwstr>http://wcosedoc.cos.agilent.com/stellent/groups/ehs/documents/end_users/008557.doc</vt:lpwstr>
      </vt:variant>
      <vt:variant>
        <vt:lpwstr/>
      </vt:variant>
      <vt:variant>
        <vt:i4>4522025</vt:i4>
      </vt:variant>
      <vt:variant>
        <vt:i4>21</vt:i4>
      </vt:variant>
      <vt:variant>
        <vt:i4>0</vt:i4>
      </vt:variant>
      <vt:variant>
        <vt:i4>5</vt:i4>
      </vt:variant>
      <vt:variant>
        <vt:lpwstr>http://wcosedoc.cos.agilent.com/stellent/groups/ehs/documents/end_users/008558.doc</vt:lpwstr>
      </vt:variant>
      <vt:variant>
        <vt:lpwstr/>
      </vt:variant>
      <vt:variant>
        <vt:i4>4718633</vt:i4>
      </vt:variant>
      <vt:variant>
        <vt:i4>18</vt:i4>
      </vt:variant>
      <vt:variant>
        <vt:i4>0</vt:i4>
      </vt:variant>
      <vt:variant>
        <vt:i4>5</vt:i4>
      </vt:variant>
      <vt:variant>
        <vt:lpwstr>http://wcosedoc.cos.agilent.com/stellent/groups/ehs/documents/end_users/008555.doc</vt:lpwstr>
      </vt:variant>
      <vt:variant>
        <vt:lpwstr/>
      </vt:variant>
      <vt:variant>
        <vt:i4>1048663</vt:i4>
      </vt:variant>
      <vt:variant>
        <vt:i4>15</vt:i4>
      </vt:variant>
      <vt:variant>
        <vt:i4>0</vt:i4>
      </vt:variant>
      <vt:variant>
        <vt:i4>5</vt:i4>
      </vt:variant>
      <vt:variant>
        <vt:lpwstr>http://wcosedoc.cos.agilent.com/intradoc-cgi/idc_cgi_isapi.dll?IdcService=GET_SEARCH_RESULTS&amp;QueryText=dDocName+%3CSubstring%3E+%6008850%60&amp;ResultTemplate=NewStandardResults&amp;ftx=&amp;AdvSearch=True&amp;ResultCount=25&amp;SortField=dDocTitle&amp;SortOrder=Asc</vt:lpwstr>
      </vt:variant>
      <vt:variant>
        <vt:lpwstr/>
      </vt:variant>
      <vt:variant>
        <vt:i4>3342398</vt:i4>
      </vt:variant>
      <vt:variant>
        <vt:i4>12</vt:i4>
      </vt:variant>
      <vt:variant>
        <vt:i4>0</vt:i4>
      </vt:variant>
      <vt:variant>
        <vt:i4>5</vt:i4>
      </vt:variant>
      <vt:variant>
        <vt:lpwstr>http://www.agilent.com/about/ohspolicy.pdf</vt:lpwstr>
      </vt:variant>
      <vt:variant>
        <vt:lpwstr/>
      </vt:variant>
      <vt:variant>
        <vt:i4>3342398</vt:i4>
      </vt:variant>
      <vt:variant>
        <vt:i4>9</vt:i4>
      </vt:variant>
      <vt:variant>
        <vt:i4>0</vt:i4>
      </vt:variant>
      <vt:variant>
        <vt:i4>5</vt:i4>
      </vt:variant>
      <vt:variant>
        <vt:lpwstr>http://www.agilent.com/about/ohspolicy.pdf</vt:lpwstr>
      </vt:variant>
      <vt:variant>
        <vt:lpwstr/>
      </vt:variant>
      <vt:variant>
        <vt:i4>4849750</vt:i4>
      </vt:variant>
      <vt:variant>
        <vt:i4>6</vt:i4>
      </vt:variant>
      <vt:variant>
        <vt:i4>0</vt:i4>
      </vt:variant>
      <vt:variant>
        <vt:i4>5</vt:i4>
      </vt:variant>
      <vt:variant>
        <vt:lpwstr>http://www.agilent.com/about/epolicy.pdf</vt:lpwstr>
      </vt:variant>
      <vt:variant>
        <vt:lpwstr/>
      </vt:variant>
      <vt:variant>
        <vt:i4>4849750</vt:i4>
      </vt:variant>
      <vt:variant>
        <vt:i4>3</vt:i4>
      </vt:variant>
      <vt:variant>
        <vt:i4>0</vt:i4>
      </vt:variant>
      <vt:variant>
        <vt:i4>5</vt:i4>
      </vt:variant>
      <vt:variant>
        <vt:lpwstr>http://www.agilent.com/about/epolicy.pdf</vt:lpwstr>
      </vt:variant>
      <vt:variant>
        <vt:lpwstr/>
      </vt:variant>
      <vt:variant>
        <vt:i4>4849710</vt:i4>
      </vt:variant>
      <vt:variant>
        <vt:i4>0</vt:i4>
      </vt:variant>
      <vt:variant>
        <vt:i4>0</vt:i4>
      </vt:variant>
      <vt:variant>
        <vt:i4>5</vt:i4>
      </vt:variant>
      <vt:variant>
        <vt:lpwstr>http://wcosedoc.cos.agilent.com/stellent/groups/ehs/documents/end_users/008527.doc</vt:lpwstr>
      </vt:variant>
      <vt:variant>
        <vt:lpwstr/>
      </vt:variant>
      <vt:variant>
        <vt:i4>4194345</vt:i4>
      </vt:variant>
      <vt:variant>
        <vt:i4>2</vt:i4>
      </vt:variant>
      <vt:variant>
        <vt:i4>0</vt:i4>
      </vt:variant>
      <vt:variant>
        <vt:i4>5</vt:i4>
      </vt:variant>
      <vt:variant>
        <vt:lpwstr>http://wcosedoc.cos.agilent.com/stellent/groups/ehs/documents/end_users/008850.doc</vt:lpwstr>
      </vt:variant>
      <vt:variant>
        <vt:lpwstr/>
      </vt:variant>
      <vt:variant>
        <vt:i4>5570620</vt:i4>
      </vt:variant>
      <vt:variant>
        <vt:i4>0</vt:i4>
      </vt:variant>
      <vt:variant>
        <vt:i4>0</vt:i4>
      </vt:variant>
      <vt:variant>
        <vt:i4>5</vt:i4>
      </vt:variant>
      <vt:variant>
        <vt:lpwstr>http://wcosedoc.cos.agilent.com/stellent/groups/cls_parts_logistics/documents/end_users/006905.pdf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Agilent EHS Standard: Contractor EHS Requirements</dc:title>
  <dc:subject/>
  <dc:creator>Mark R. Smith</dc:creator>
  <cp:keywords/>
  <cp:lastModifiedBy>PAULSON,KARL (A-SantaClara,ex1)</cp:lastModifiedBy>
  <cp:revision>2</cp:revision>
  <cp:lastPrinted>2011-04-19T17:10:00Z</cp:lastPrinted>
  <dcterms:created xsi:type="dcterms:W3CDTF">2018-04-05T00:07:00Z</dcterms:created>
  <dcterms:modified xsi:type="dcterms:W3CDTF">2018-04-05T00:07:00Z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0x010100B0C286F4217DEE4B88AD91B5C5BD7EAB009BCF58990AE44C4D8E69AD2442CE7D55</vt:lpwstr>
  </property>
  <property fmtid="{D5CDD505-2E9C-101B-9397-08002B2CF9AE}" pid="3" name="Business Unit">
    <vt:lpwstr>EHS</vt:lpwstr>
  </property>
  <property fmtid="{D5CDD505-2E9C-101B-9397-08002B2CF9AE}" pid="4" name="Project">
    <vt:lpwstr>Business Management System (Quality-EH-S)</vt:lpwstr>
  </property>
  <property fmtid="{D5CDD505-2E9C-101B-9397-08002B2CF9AE}" pid="5" name="Sub Function">
    <vt:lpwstr>EHS</vt:lpwstr>
  </property>
  <property fmtid="{D5CDD505-2E9C-101B-9397-08002B2CF9AE}" pid="6" name="Security Group">
    <vt:lpwstr>All User Access</vt:lpwstr>
  </property>
  <property fmtid="{D5CDD505-2E9C-101B-9397-08002B2CF9AE}" pid="7" name="Sub Doc Type 2">
    <vt:lpwstr>Quality/EHS Standards</vt:lpwstr>
  </property>
  <property fmtid="{D5CDD505-2E9C-101B-9397-08002B2CF9AE}" pid="8" name="Sub Doc Type">
    <vt:lpwstr>Environmental Health &amp; Safety (EH&amp;S)</vt:lpwstr>
  </property>
  <property fmtid="{D5CDD505-2E9C-101B-9397-08002B2CF9AE}" pid="9" name="On Hold">
    <vt:bool>false</vt:bool>
  </property>
  <property fmtid="{D5CDD505-2E9C-101B-9397-08002B2CF9AE}" pid="10" name="Legacy Author">
    <vt:lpwstr>agilent\dbaldwin Paulson, Karl</vt:lpwstr>
  </property>
  <property fmtid="{D5CDD505-2E9C-101B-9397-08002B2CF9AE}" pid="11" name="Function">
    <vt:lpwstr>EHS</vt:lpwstr>
  </property>
  <property fmtid="{D5CDD505-2E9C-101B-9397-08002B2CF9AE}" pid="12" name="User Defined">
    <vt:lpwstr>docx</vt:lpwstr>
  </property>
  <property fmtid="{D5CDD505-2E9C-101B-9397-08002B2CF9AE}" pid="13" name="WorkFlow">
    <vt:lpwstr>WorkFlow Not Required</vt:lpwstr>
  </property>
  <property fmtid="{D5CDD505-2E9C-101B-9397-08002B2CF9AE}" pid="14" name="Legacy ID">
    <vt:lpwstr>008850</vt:lpwstr>
  </property>
  <property fmtid="{D5CDD505-2E9C-101B-9397-08002B2CF9AE}" pid="15" name="Expiration Date0">
    <vt:filetime>2099-01-01T08:00:00Z</vt:filetime>
  </property>
  <property fmtid="{D5CDD505-2E9C-101B-9397-08002B2CF9AE}" pid="16" name="Content Owner">
    <vt:lpwstr>28;#PAULSON,KARL (A-SantaClara,ex1)</vt:lpwstr>
  </property>
  <property fmtid="{D5CDD505-2E9C-101B-9397-08002B2CF9AE}" pid="17" name="Program">
    <vt:lpwstr>KP</vt:lpwstr>
  </property>
  <property fmtid="{D5CDD505-2E9C-101B-9397-08002B2CF9AE}" pid="18" name="Retention Period">
    <vt:lpwstr>Permanent</vt:lpwstr>
  </property>
  <property fmtid="{D5CDD505-2E9C-101B-9397-08002B2CF9AE}" pid="19" name="Doc Type">
    <vt:lpwstr>Environmental Health &amp; Safety (EH&amp;S)</vt:lpwstr>
  </property>
  <property fmtid="{D5CDD505-2E9C-101B-9397-08002B2CF9AE}" pid="20" name="Release Status">
    <vt:lpwstr>Released</vt:lpwstr>
  </property>
  <property fmtid="{D5CDD505-2E9C-101B-9397-08002B2CF9AE}" pid="21" name="_dlc_policyId">
    <vt:lpwstr>0x010100B0C286F4217DEE4B88AD91B5C5BD7EAB009BCF58990AE44C4D8E69AD2442CE7D55|-1645218868</vt:lpwstr>
  </property>
  <property fmtid="{D5CDD505-2E9C-101B-9397-08002B2CF9AE}" pid="22" name="ItemRetentionFormula">
    <vt:lpwstr>&lt;formula id="Microsoft.Office.RecordsManagement.PolicyFeatures.Expiration.Formula.BuiltIn"&gt;&lt;number&gt;1&lt;/number&gt;&lt;property&gt;Expiration_x005f_x0020_Date0&lt;/property&gt;&lt;propertyId&gt;cc70aa07-3a77-4ce1-afb1-07f200c254e2&lt;/propertyId&gt;&lt;period&gt;days&lt;/period&gt;&lt;/formula&gt;</vt:lpwstr>
  </property>
</Properties>
</file>